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8C" w:rsidRPr="0043384F" w:rsidRDefault="00FC468C" w:rsidP="00FC468C">
      <w:pPr>
        <w:jc w:val="center"/>
        <w:rPr>
          <w:rFonts w:ascii="Calibri" w:hAnsi="Calibri"/>
          <w:sz w:val="28"/>
          <w:szCs w:val="28"/>
          <w:u w:val="single"/>
        </w:rPr>
      </w:pPr>
      <w:bookmarkStart w:id="0" w:name="_GoBack"/>
      <w:bookmarkEnd w:id="0"/>
      <w:r w:rsidRPr="0043384F">
        <w:rPr>
          <w:rFonts w:ascii="Calibri" w:hAnsi="Calibri"/>
          <w:sz w:val="28"/>
          <w:szCs w:val="28"/>
          <w:u w:val="single"/>
        </w:rPr>
        <w:t>Job Description – SCCA Non-Executive Director</w:t>
      </w:r>
    </w:p>
    <w:p w:rsidR="00FC468C" w:rsidRPr="0043384F" w:rsidRDefault="00FC468C" w:rsidP="00FC468C">
      <w:pPr>
        <w:rPr>
          <w:rFonts w:ascii="Calibri" w:hAnsi="Calibri"/>
          <w:u w:val="single"/>
        </w:rPr>
      </w:pPr>
      <w:r w:rsidRPr="0043384F">
        <w:rPr>
          <w:rFonts w:ascii="Calibri" w:hAnsi="Calibri"/>
          <w:u w:val="single"/>
        </w:rPr>
        <w:t>Non-Executive Duties</w:t>
      </w:r>
    </w:p>
    <w:p w:rsidR="00C25EAF" w:rsidRDefault="001B13E3" w:rsidP="00FC468C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</w:rPr>
      </w:pPr>
      <w:r w:rsidRPr="0043384F">
        <w:rPr>
          <w:rFonts w:ascii="Calibri" w:hAnsi="Calibri"/>
        </w:rPr>
        <w:t>To maintain</w:t>
      </w:r>
      <w:r w:rsidR="00FD47E9" w:rsidRPr="0043384F">
        <w:rPr>
          <w:rFonts w:ascii="Calibri" w:hAnsi="Calibri"/>
        </w:rPr>
        <w:t xml:space="preserve"> an overall watch on </w:t>
      </w:r>
      <w:r w:rsidRPr="0043384F">
        <w:rPr>
          <w:rFonts w:ascii="Calibri" w:hAnsi="Calibri"/>
        </w:rPr>
        <w:t>g</w:t>
      </w:r>
      <w:r w:rsidR="00FD47E9" w:rsidRPr="0043384F">
        <w:rPr>
          <w:rFonts w:ascii="Calibri" w:hAnsi="Calibri"/>
        </w:rPr>
        <w:t>overnance issues as applicable t</w:t>
      </w:r>
      <w:r w:rsidR="00FC468C" w:rsidRPr="0043384F">
        <w:rPr>
          <w:rFonts w:ascii="Calibri" w:hAnsi="Calibri"/>
        </w:rPr>
        <w:t>o a not for profit organisation.</w:t>
      </w:r>
    </w:p>
    <w:p w:rsidR="0043384F" w:rsidRPr="0043384F" w:rsidRDefault="0043384F" w:rsidP="0043384F">
      <w:pPr>
        <w:pStyle w:val="ListParagraph"/>
        <w:ind w:left="360"/>
        <w:jc w:val="both"/>
        <w:rPr>
          <w:rFonts w:ascii="Calibri" w:hAnsi="Calibri"/>
        </w:rPr>
      </w:pPr>
    </w:p>
    <w:p w:rsidR="00E623AC" w:rsidRDefault="001B13E3" w:rsidP="00FC468C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</w:rPr>
      </w:pPr>
      <w:r w:rsidRPr="0043384F">
        <w:rPr>
          <w:rFonts w:ascii="Calibri" w:hAnsi="Calibri"/>
        </w:rPr>
        <w:t>To utilise</w:t>
      </w:r>
      <w:r w:rsidR="00FD47E9" w:rsidRPr="0043384F">
        <w:rPr>
          <w:rFonts w:ascii="Calibri" w:hAnsi="Calibri"/>
        </w:rPr>
        <w:t xml:space="preserve"> existing professional skills to assist the Board in executing their responsibilities</w:t>
      </w:r>
      <w:r w:rsidR="00E623AC" w:rsidRPr="0043384F">
        <w:rPr>
          <w:rFonts w:ascii="Calibri" w:hAnsi="Calibri"/>
        </w:rPr>
        <w:t>, including but not limited to risk management, strategic planning</w:t>
      </w:r>
      <w:r w:rsidR="00FD47E9" w:rsidRPr="0043384F">
        <w:rPr>
          <w:rFonts w:ascii="Calibri" w:hAnsi="Calibri"/>
        </w:rPr>
        <w:t>.</w:t>
      </w:r>
    </w:p>
    <w:p w:rsidR="0043384F" w:rsidRPr="0043384F" w:rsidRDefault="0043384F" w:rsidP="0043384F">
      <w:pPr>
        <w:pStyle w:val="ListParagraph"/>
        <w:ind w:left="360"/>
        <w:jc w:val="both"/>
        <w:rPr>
          <w:rFonts w:ascii="Calibri" w:hAnsi="Calibri"/>
        </w:rPr>
      </w:pPr>
    </w:p>
    <w:p w:rsidR="00FC468C" w:rsidRPr="0043384F" w:rsidRDefault="00FC468C" w:rsidP="00FC468C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</w:rPr>
      </w:pPr>
      <w:r w:rsidRPr="0043384F">
        <w:rPr>
          <w:rFonts w:ascii="Calibri" w:hAnsi="Calibri"/>
        </w:rPr>
        <w:t>To avoid, except where specifically agreed otherwise by the Board (with appropriate safeguards in place), being involved in Executive matters of the Board.</w:t>
      </w:r>
    </w:p>
    <w:p w:rsidR="00E623AC" w:rsidRPr="0043384F" w:rsidRDefault="00E623AC" w:rsidP="00E623AC">
      <w:pPr>
        <w:jc w:val="both"/>
        <w:rPr>
          <w:rFonts w:ascii="Calibri" w:hAnsi="Calibri"/>
        </w:rPr>
      </w:pPr>
      <w:r w:rsidRPr="0043384F">
        <w:rPr>
          <w:rFonts w:ascii="Calibri" w:hAnsi="Calibri"/>
        </w:rPr>
        <w:t>The I</w:t>
      </w:r>
      <w:r w:rsidR="001B13E3" w:rsidRPr="0043384F">
        <w:rPr>
          <w:rFonts w:ascii="Calibri" w:hAnsi="Calibri"/>
        </w:rPr>
        <w:t xml:space="preserve">nstitute of </w:t>
      </w:r>
      <w:r w:rsidRPr="0043384F">
        <w:rPr>
          <w:rFonts w:ascii="Calibri" w:hAnsi="Calibri"/>
        </w:rPr>
        <w:t>D</w:t>
      </w:r>
      <w:r w:rsidR="001B13E3" w:rsidRPr="0043384F">
        <w:rPr>
          <w:rFonts w:ascii="Calibri" w:hAnsi="Calibri"/>
        </w:rPr>
        <w:t>irectors’ guidance on the role of Non-Executive Directors</w:t>
      </w:r>
      <w:r w:rsidRPr="0043384F">
        <w:rPr>
          <w:rFonts w:ascii="Calibri" w:hAnsi="Calibri"/>
        </w:rPr>
        <w:t xml:space="preserve"> can be found at:</w:t>
      </w:r>
    </w:p>
    <w:p w:rsidR="00E623AC" w:rsidRPr="0043384F" w:rsidRDefault="00303F43" w:rsidP="00E623AC">
      <w:pPr>
        <w:jc w:val="both"/>
        <w:rPr>
          <w:rFonts w:ascii="Calibri" w:hAnsi="Calibri"/>
          <w:color w:val="000000"/>
          <w:sz w:val="27"/>
          <w:szCs w:val="27"/>
        </w:rPr>
      </w:pPr>
      <w:hyperlink r:id="rId6" w:history="1">
        <w:r w:rsidR="00E623AC" w:rsidRPr="0043384F">
          <w:rPr>
            <w:rStyle w:val="Hyperlink"/>
            <w:rFonts w:ascii="Calibri" w:hAnsi="Calibri"/>
            <w:sz w:val="27"/>
            <w:szCs w:val="27"/>
          </w:rPr>
          <w:t>http://www.iod.com/Guidance/Briefings/CGBIS-Role-of-NXDs</w:t>
        </w:r>
      </w:hyperlink>
      <w:r w:rsidR="00E623AC" w:rsidRPr="0043384F">
        <w:rPr>
          <w:rFonts w:ascii="Calibri" w:hAnsi="Calibri"/>
          <w:color w:val="000000"/>
          <w:sz w:val="27"/>
          <w:szCs w:val="27"/>
        </w:rPr>
        <w:t> </w:t>
      </w:r>
    </w:p>
    <w:p w:rsidR="0043384F" w:rsidRPr="00EC633E" w:rsidRDefault="0043384F" w:rsidP="0043384F">
      <w:pPr>
        <w:rPr>
          <w:rFonts w:ascii="Calibri" w:hAnsi="Calibri"/>
          <w:u w:val="single"/>
        </w:rPr>
      </w:pPr>
      <w:r w:rsidRPr="00EC633E">
        <w:rPr>
          <w:rFonts w:ascii="Calibri" w:hAnsi="Calibri"/>
          <w:u w:val="single"/>
        </w:rPr>
        <w:t xml:space="preserve">General Duties </w:t>
      </w:r>
    </w:p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 xml:space="preserve">To attend and contribute to the discussions at Board and General Meetings. </w:t>
      </w:r>
      <w:r w:rsidRPr="002A0CE6">
        <w:t xml:space="preserve">There are usually about </w:t>
      </w:r>
      <w:r>
        <w:t>6</w:t>
      </w:r>
      <w:r w:rsidRPr="002A0CE6">
        <w:t xml:space="preserve"> Board meetings per year. There are usually 2 General meetings annually.</w:t>
      </w:r>
    </w:p>
    <w:p w:rsidR="001279FB" w:rsidRDefault="001279FB" w:rsidP="001279FB">
      <w:pPr>
        <w:spacing w:after="0"/>
        <w:jc w:val="both"/>
      </w:pPr>
    </w:p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p</w:t>
      </w:r>
      <w:r w:rsidRPr="008E0B04">
        <w:t>repare</w:t>
      </w:r>
      <w:r w:rsidRPr="007C48C0">
        <w:t xml:space="preserve"> </w:t>
      </w:r>
      <w:r>
        <w:t xml:space="preserve">for Board and General meetings including, but not limited to, researching relevant information, setting agenda items, </w:t>
      </w:r>
      <w:r w:rsidRPr="008E0B04">
        <w:t>considering changes to the Bye Laws and Articles,</w:t>
      </w:r>
      <w:r>
        <w:t xml:space="preserve"> review of Board papers, voting on Board proposals, review of draft minutes.</w:t>
      </w:r>
      <w:r w:rsidRPr="008E0B04">
        <w:t xml:space="preserve">  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contribute to the exchanges of email between Board members and endeavour to ensure that urgent matters receive the necessary attention and are completed.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Where an email vote is required, to reply within 7 days or in accordance with any deadline.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be familiar with the Objects, Articles and Bye-laws of SCCA, their ongoing suitability/relevance, and to ensure compliance therewith by the Board as a body.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keep abreast of chess related matters in the Surrey area and those dealt with on a national basis.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To be aware of the legal responsibilities of Directors, as set out in the Companies Act and general business practice.</w:t>
      </w:r>
    </w:p>
    <w:p w:rsidR="0043384F" w:rsidRDefault="0043384F" w:rsidP="0043384F"/>
    <w:p w:rsidR="0043384F" w:rsidRDefault="0043384F" w:rsidP="0043384F">
      <w:pPr>
        <w:pStyle w:val="ListParagraph"/>
        <w:numPr>
          <w:ilvl w:val="0"/>
          <w:numId w:val="2"/>
        </w:numPr>
        <w:spacing w:after="0"/>
        <w:ind w:left="360"/>
        <w:jc w:val="both"/>
      </w:pPr>
      <w:r>
        <w:t>T</w:t>
      </w:r>
      <w:r w:rsidRPr="002A0CE6">
        <w:t>o act in good faith and in the best interests of the Association</w:t>
      </w:r>
      <w:r>
        <w:t>.</w:t>
      </w:r>
    </w:p>
    <w:p w:rsidR="009C2510" w:rsidRPr="0043384F" w:rsidRDefault="009C2510" w:rsidP="0043384F">
      <w:pPr>
        <w:rPr>
          <w:rFonts w:ascii="Calibri" w:hAnsi="Calibri"/>
          <w:u w:val="single"/>
        </w:rPr>
      </w:pPr>
    </w:p>
    <w:sectPr w:rsidR="009C2510" w:rsidRPr="0043384F" w:rsidSect="00855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398A"/>
    <w:multiLevelType w:val="hybridMultilevel"/>
    <w:tmpl w:val="31EA5C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7195A"/>
    <w:multiLevelType w:val="hybridMultilevel"/>
    <w:tmpl w:val="199CF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92"/>
    <w:rsid w:val="001279FB"/>
    <w:rsid w:val="001B13E3"/>
    <w:rsid w:val="00303F43"/>
    <w:rsid w:val="0043384F"/>
    <w:rsid w:val="005D302C"/>
    <w:rsid w:val="00652B6D"/>
    <w:rsid w:val="0070065F"/>
    <w:rsid w:val="008554BA"/>
    <w:rsid w:val="009C2510"/>
    <w:rsid w:val="00A83B13"/>
    <w:rsid w:val="00B83269"/>
    <w:rsid w:val="00C25EAF"/>
    <w:rsid w:val="00CC723D"/>
    <w:rsid w:val="00DC7C86"/>
    <w:rsid w:val="00E623AC"/>
    <w:rsid w:val="00F11092"/>
    <w:rsid w:val="00FC468C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23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2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d.com/Guidance/Briefings/CGBIS-Role-of-NX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</cp:lastModifiedBy>
  <cp:revision>2</cp:revision>
  <dcterms:created xsi:type="dcterms:W3CDTF">2017-10-10T13:11:00Z</dcterms:created>
  <dcterms:modified xsi:type="dcterms:W3CDTF">2017-10-10T13:11:00Z</dcterms:modified>
</cp:coreProperties>
</file>