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roofErr w:type="gramStart"/>
      <w:r>
        <w:rPr>
          <w:rFonts w:ascii="Arial" w:hAnsi="Arial" w:cs="Arial"/>
          <w:sz w:val="20"/>
        </w:rPr>
        <w:t>]</w:t>
      </w:r>
      <w:proofErr w:type="gramEnd"/>
      <w:r w:rsidRPr="00546DA2">
        <w:rPr>
          <w:rFonts w:ascii="Arial" w:hAnsi="Arial" w:cs="Arial"/>
          <w:sz w:val="20"/>
          <w:vertAlign w:val="superscript"/>
        </w:rPr>
        <w:t>1</w:t>
      </w:r>
    </w:p>
    <w:p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 xml:space="preserve">Member </w:t>
        </w:r>
        <w:r w:rsidR="00DD4F7F" w:rsidRPr="003B2BE4">
          <w:rPr>
            <w:rStyle w:val="Hyperlink"/>
          </w:rPr>
          <w:lastRenderedPageBreak/>
          <w:t>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CD03FD">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each year hold a General Meeting as its Annual General Meeting</w:t>
      </w:r>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lastRenderedPageBreak/>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4735AD">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At the Annual Finance Meeting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4735AD">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At the Annual League Composition Meeting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accidental omission to give notice of a meeting to, or the </w:t>
      </w:r>
      <w:proofErr w:type="spellStart"/>
      <w:r w:rsidR="00414341" w:rsidRPr="003B2BE4">
        <w:rPr>
          <w:rFonts w:ascii="Arial" w:hAnsi="Arial" w:cs="Arial"/>
          <w:sz w:val="20"/>
        </w:rPr>
        <w:t>non receipt</w:t>
      </w:r>
      <w:proofErr w:type="spellEnd"/>
      <w:r w:rsidR="00414341" w:rsidRPr="003B2BE4">
        <w:rPr>
          <w:rFonts w:ascii="Arial" w:hAnsi="Arial" w:cs="Arial"/>
          <w:sz w:val="20"/>
        </w:rPr>
        <w:t xml:space="preserve">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lastRenderedPageBreak/>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w:t>
      </w:r>
      <w:r w:rsidR="00414341" w:rsidRPr="003B2BE4">
        <w:rPr>
          <w:rFonts w:ascii="Arial" w:hAnsi="Arial" w:cs="Arial"/>
          <w:sz w:val="20"/>
        </w:rPr>
        <w:lastRenderedPageBreak/>
        <w:t xml:space="preserve">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lastRenderedPageBreak/>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lastRenderedPageBreak/>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w:t>
      </w:r>
      <w:r w:rsidR="00414341" w:rsidRPr="003B2BE4">
        <w:rPr>
          <w:rFonts w:ascii="Arial" w:hAnsi="Arial" w:cs="Arial"/>
          <w:sz w:val="20"/>
        </w:rPr>
        <w:lastRenderedPageBreak/>
        <w:t xml:space="preserve">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bookmarkStart w:id="57" w:name="_GoBack"/>
      <w:bookmarkEnd w:id="57"/>
      <w:r>
        <w:rPr>
          <w:rFonts w:ascii="Arial" w:hAnsi="Arial" w:cs="Arial"/>
          <w:sz w:val="16"/>
          <w:szCs w:val="16"/>
        </w:rPr>
        <w:t>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lastRenderedPageBreak/>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8" w:name="art63"/>
      <w:bookmarkEnd w:id="58"/>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66172A">
      <w:pPr>
        <w:spacing w:after="120"/>
        <w:rPr>
          <w:rFonts w:ascii="Arial" w:hAnsi="Arial" w:cs="Arial"/>
          <w:i/>
          <w:iCs/>
          <w:sz w:val="20"/>
        </w:rPr>
      </w:pPr>
      <w:r w:rsidRPr="00F66000">
        <w:rPr>
          <w:rFonts w:ascii="Arial" w:hAnsi="Arial" w:cs="Arial"/>
          <w:i/>
          <w:iCs/>
          <w:sz w:val="20"/>
        </w:rPr>
        <w:lastRenderedPageBreak/>
        <w:t>Attention is drawn to the following guidance documents held on the Administration section of the Company’s website:</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Role and Duties of Match Captains - SCCA</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Guidance to Players and Captains</w:t>
      </w:r>
    </w:p>
    <w:p w:rsidR="0066172A" w:rsidRPr="00F66000" w:rsidRDefault="0066172A" w:rsidP="0066172A">
      <w:pPr>
        <w:spacing w:after="120"/>
        <w:rPr>
          <w:rFonts w:ascii="Arial" w:hAnsi="Arial" w:cs="Arial"/>
          <w:i/>
          <w:iCs/>
          <w:sz w:val="20"/>
        </w:rPr>
      </w:pPr>
      <w:r w:rsidRPr="00F66000">
        <w:rPr>
          <w:rFonts w:ascii="Arial" w:hAnsi="Arial" w:cs="Arial"/>
          <w:i/>
          <w:iCs/>
          <w:sz w:val="20"/>
        </w:rPr>
        <w:t>Although these documents do not form part of the Bye Laws, compliance with the guidance therein will be taken into account by the relevant Controller and by the Chess Disputes Committee in making any rulings required pursuant to Bye Laws 2.1 or 2.9.</w:t>
      </w:r>
    </w:p>
    <w:p w:rsidR="0066172A" w:rsidRDefault="0066172A" w:rsidP="007F6008">
      <w:pPr>
        <w:pStyle w:val="Heading4"/>
        <w:rPr>
          <w:rFonts w:ascii="Arial" w:hAnsi="Arial" w:cs="Arial"/>
          <w:sz w:val="20"/>
        </w:rPr>
      </w:pP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9" w:name="byeLaws"/>
      <w:bookmarkEnd w:id="59"/>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article"/>
      <w:bookmarkEnd w:id="60"/>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laws"/>
      <w:bookmarkEnd w:id="61"/>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Comp"/>
      <w:bookmarkEnd w:id="62"/>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3" w:name="bl_club"/>
      <w:bookmarkEnd w:id="63"/>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7A14C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7A14C9">
        <w:rPr>
          <w:rFonts w:ascii="Arial" w:hAnsi="Arial" w:cs="Arial"/>
          <w:sz w:val="20"/>
        </w:rPr>
        <w:t xml:space="preserve"> and 25 June 2017</w:t>
      </w:r>
      <w:r w:rsidR="0028776A">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8E0748" w:rsidRDefault="008E0748" w:rsidP="007A14C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A4BBF">
        <w:rPr>
          <w:rFonts w:ascii="Arial" w:hAnsi="Arial" w:cs="Arial"/>
          <w:sz w:val="16"/>
          <w:szCs w:val="16"/>
        </w:rPr>
        <w:t>2</w:t>
      </w:r>
      <w:r w:rsidR="007A14C9">
        <w:rPr>
          <w:rFonts w:ascii="Arial" w:hAnsi="Arial" w:cs="Arial"/>
          <w:sz w:val="16"/>
          <w:szCs w:val="16"/>
        </w:rPr>
        <w:t>5</w:t>
      </w:r>
      <w:r w:rsidR="00EA4BBF">
        <w:rPr>
          <w:rFonts w:ascii="Arial" w:hAnsi="Arial" w:cs="Arial"/>
          <w:sz w:val="16"/>
          <w:szCs w:val="16"/>
        </w:rPr>
        <w:t xml:space="preserve"> June 201</w:t>
      </w:r>
      <w:r w:rsidR="007A14C9">
        <w:rPr>
          <w:rFonts w:ascii="Arial" w:hAnsi="Arial" w:cs="Arial"/>
          <w:sz w:val="16"/>
          <w:szCs w:val="16"/>
        </w:rPr>
        <w:t>7</w:t>
      </w:r>
      <w:r>
        <w:rPr>
          <w:rFonts w:ascii="Arial" w:hAnsi="Arial" w:cs="Arial"/>
          <w:sz w:val="16"/>
          <w:szCs w:val="16"/>
        </w:rPr>
        <w:t xml:space="preserve"> at the </w:t>
      </w:r>
      <w:r w:rsidR="00A313DC">
        <w:rPr>
          <w:rFonts w:ascii="Arial" w:hAnsi="Arial" w:cs="Arial"/>
          <w:sz w:val="16"/>
          <w:szCs w:val="16"/>
        </w:rPr>
        <w:t>A</w:t>
      </w:r>
      <w:r>
        <w:rPr>
          <w:rFonts w:ascii="Arial" w:hAnsi="Arial" w:cs="Arial"/>
          <w:sz w:val="16"/>
          <w:szCs w:val="16"/>
        </w:rPr>
        <w:t>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4" w:name="bl_controller"/>
      <w:bookmarkStart w:id="65" w:name="bl_2_1_1"/>
      <w:bookmarkEnd w:id="64"/>
      <w:bookmarkEnd w:id="65"/>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6" w:name="bl_2_1_2"/>
      <w:bookmarkEnd w:id="66"/>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54884">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Appendix G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paragraph G4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E54884">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Pr="00E54884" w:rsidRDefault="00E54884" w:rsidP="00E54884">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7" w:name="bl_2_4"/>
      <w:bookmarkEnd w:id="67"/>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28776A">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Pr>
          <w:rFonts w:ascii="Arial" w:hAnsi="Arial" w:cs="Arial"/>
          <w:sz w:val="20"/>
        </w:rPr>
        <w:t xml:space="preserve"> </w:t>
      </w:r>
      <w:r w:rsidR="0028776A" w:rsidRPr="0028776A">
        <w:rPr>
          <w:rFonts w:ascii="Arial" w:hAnsi="Arial" w:cs="Arial"/>
          <w:sz w:val="20"/>
        </w:rPr>
        <w:t>[, but an F Category grade 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264F7D" w:rsidRDefault="00264F7D" w:rsidP="0028776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28776A" w:rsidRPr="00926FB5" w:rsidRDefault="0028776A" w:rsidP="002877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8" w:name="bl_2_7"/>
      <w:bookmarkEnd w:id="68"/>
      <w:r w:rsidRPr="003B2BE4">
        <w:rPr>
          <w:rFonts w:ascii="Arial" w:hAnsi="Arial" w:cs="Arial"/>
          <w:sz w:val="20"/>
        </w:rPr>
        <w:t>2.7</w:t>
      </w:r>
      <w:r w:rsidRPr="003B2BE4">
        <w:rPr>
          <w:rFonts w:ascii="Arial" w:hAnsi="Arial" w:cs="Arial"/>
          <w:b/>
          <w:sz w:val="20"/>
        </w:rPr>
        <w:tab/>
        <w:t>Playing strength</w:t>
      </w:r>
    </w:p>
    <w:p w:rsidR="00926FB5" w:rsidRPr="003B2BE4" w:rsidRDefault="00926FB5"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Pr="00926FB5">
        <w:rPr>
          <w:rFonts w:ascii="Arial" w:hAnsi="Arial" w:cs="Arial"/>
          <w:sz w:val="20"/>
        </w:rPr>
        <w:t xml:space="preserve"> </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9D72F3">
        <w:rPr>
          <w:rFonts w:ascii="Arial" w:hAnsi="Arial" w:cs="Arial"/>
          <w:sz w:val="16"/>
          <w:szCs w:val="16"/>
        </w:rPr>
        <w:t>13</w:t>
      </w:r>
      <w:r>
        <w:rPr>
          <w:rFonts w:ascii="Arial" w:hAnsi="Arial" w:cs="Arial"/>
          <w:sz w:val="16"/>
          <w:szCs w:val="16"/>
        </w:rPr>
        <w:t xml:space="preserve"> June 20</w:t>
      </w:r>
      <w:r w:rsidR="009D72F3">
        <w:rPr>
          <w:rFonts w:ascii="Arial" w:hAnsi="Arial" w:cs="Arial"/>
          <w:sz w:val="16"/>
          <w:szCs w:val="16"/>
        </w:rPr>
        <w:t>10</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lastRenderedPageBreak/>
        <w:t>2.8</w:t>
      </w:r>
      <w:r w:rsidRPr="003B2BE4">
        <w:rPr>
          <w:rFonts w:ascii="Arial" w:hAnsi="Arial" w:cs="Arial"/>
          <w:b/>
          <w:sz w:val="20"/>
        </w:rPr>
        <w:tab/>
        <w:t>Mobile telephones</w:t>
      </w:r>
      <w:r w:rsidR="00E44608">
        <w:rPr>
          <w:rFonts w:ascii="Arial" w:hAnsi="Arial" w:cs="Arial"/>
          <w:b/>
          <w:sz w:val="20"/>
        </w:rPr>
        <w:t xml:space="preserve"> [</w:t>
      </w:r>
      <w:r w:rsidR="00E44608" w:rsidRPr="00E44608">
        <w:rPr>
          <w:rFonts w:ascii="Arial" w:hAnsi="Arial" w:cs="Arial"/>
          <w:b/>
          <w:sz w:val="20"/>
        </w:rPr>
        <w:t>and other electronic devices</w:t>
      </w:r>
      <w:proofErr w:type="gramStart"/>
      <w:r w:rsidR="00E44608">
        <w:rPr>
          <w:rFonts w:ascii="Arial" w:hAnsi="Arial" w:cs="Arial"/>
          <w:b/>
          <w:sz w:val="20"/>
        </w:rPr>
        <w:t>]</w:t>
      </w:r>
      <w:r w:rsidR="00E44608" w:rsidRPr="00E44608">
        <w:rPr>
          <w:rFonts w:ascii="Arial" w:hAnsi="Arial" w:cs="Arial"/>
          <w:sz w:val="20"/>
          <w:vertAlign w:val="superscript"/>
        </w:rPr>
        <w:t>3</w:t>
      </w:r>
      <w:proofErr w:type="gramEnd"/>
    </w:p>
    <w:p w:rsidR="006449B6" w:rsidRDefault="00A22792" w:rsidP="007C2FE7">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Pr>
          <w:rFonts w:ascii="Arial" w:hAnsi="Arial" w:cs="Arial"/>
          <w:sz w:val="20"/>
        </w:rPr>
        <w:t>[</w:t>
      </w:r>
      <w:r w:rsidR="00A33CF2" w:rsidRPr="00A33CF2">
        <w:rPr>
          <w:rFonts w:ascii="Arial" w:hAnsi="Arial" w:cs="Arial"/>
          <w:sz w:val="20"/>
        </w:rPr>
        <w:t>the relevant provisions</w:t>
      </w:r>
      <w:proofErr w:type="gramStart"/>
      <w:r w:rsidR="00A33CF2">
        <w:rPr>
          <w:rFonts w:ascii="Arial" w:hAnsi="Arial" w:cs="Arial"/>
          <w:sz w:val="20"/>
        </w:rPr>
        <w:t>]</w:t>
      </w:r>
      <w:r w:rsidR="00A33CF2" w:rsidRPr="00A33CF2">
        <w:rPr>
          <w:rFonts w:ascii="Arial" w:hAnsi="Arial" w:cs="Arial"/>
          <w:sz w:val="20"/>
          <w:vertAlign w:val="superscript"/>
        </w:rPr>
        <w:t>1</w:t>
      </w:r>
      <w:proofErr w:type="gramEnd"/>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Pr>
          <w:rFonts w:ascii="Arial" w:hAnsi="Arial" w:cs="Arial"/>
          <w:sz w:val="20"/>
        </w:rPr>
        <w:t>[</w:t>
      </w:r>
      <w:r w:rsidR="00A33CF2" w:rsidRPr="00A33CF2">
        <w:rPr>
          <w:rFonts w:ascii="Arial" w:hAnsi="Arial" w:cs="Arial"/>
          <w:sz w:val="20"/>
        </w:rPr>
        <w:t xml:space="preserve">and other electronic </w:t>
      </w:r>
      <w:r w:rsidR="004249D4">
        <w:rPr>
          <w:rFonts w:ascii="Arial" w:hAnsi="Arial" w:cs="Arial"/>
          <w:sz w:val="20"/>
        </w:rPr>
        <w:t>[devices]</w:t>
      </w:r>
      <w:r w:rsidR="004249D4" w:rsidRPr="004249D4">
        <w:rPr>
          <w:rFonts w:ascii="Arial" w:hAnsi="Arial" w:cs="Arial"/>
          <w:sz w:val="20"/>
          <w:vertAlign w:val="superscript"/>
        </w:rPr>
        <w:t>3</w:t>
      </w:r>
      <w:r w:rsidR="00A33CF2">
        <w:rPr>
          <w:rFonts w:ascii="Arial" w:hAnsi="Arial" w:cs="Arial"/>
          <w:sz w:val="20"/>
        </w:rPr>
        <w:t>]</w:t>
      </w:r>
      <w:r w:rsidR="00A33CF2" w:rsidRPr="00A33CF2">
        <w:rPr>
          <w:rFonts w:ascii="Arial" w:hAnsi="Arial" w:cs="Arial"/>
          <w:sz w:val="20"/>
          <w:vertAlign w:val="superscript"/>
        </w:rPr>
        <w:t>1</w:t>
      </w:r>
      <w:r w:rsidR="00A33CF2" w:rsidRPr="00A33CF2">
        <w:rPr>
          <w:rFonts w:ascii="Arial" w:hAnsi="Arial" w:cs="Arial"/>
          <w:sz w:val="20"/>
        </w:rPr>
        <w:t xml:space="preserve"> </w:t>
      </w:r>
      <w:r w:rsidRPr="003B2BE4">
        <w:rPr>
          <w:rFonts w:ascii="Arial" w:hAnsi="Arial" w:cs="Arial"/>
          <w:sz w:val="20"/>
        </w:rPr>
        <w:t>into a playing venue</w:t>
      </w:r>
      <w:r w:rsidR="004249D4">
        <w:rPr>
          <w:rFonts w:ascii="Arial" w:hAnsi="Arial" w:cs="Arial"/>
          <w:sz w:val="20"/>
        </w:rPr>
        <w:t xml:space="preserve"> [</w:t>
      </w:r>
      <w:r w:rsidR="004249D4" w:rsidRPr="004249D4">
        <w:rPr>
          <w:rFonts w:ascii="Arial" w:hAnsi="Arial" w:cs="Arial"/>
          <w:sz w:val="20"/>
        </w:rPr>
        <w:t>and there shall be no penalty for doing so]</w:t>
      </w:r>
      <w:r w:rsidR="004249D4" w:rsidRPr="004249D4">
        <w:rPr>
          <w:rFonts w:ascii="Arial" w:hAnsi="Arial" w:cs="Arial"/>
          <w:sz w:val="20"/>
          <w:vertAlign w:val="superscript"/>
        </w:rPr>
        <w:t>3</w:t>
      </w:r>
      <w:r w:rsidR="00EF1BF7">
        <w:rPr>
          <w:rFonts w:ascii="Arial" w:hAnsi="Arial" w:cs="Arial"/>
          <w:sz w:val="20"/>
        </w:rPr>
        <w:t>.</w:t>
      </w:r>
      <w:r w:rsidRPr="003B2BE4">
        <w:rPr>
          <w:rFonts w:ascii="Arial" w:hAnsi="Arial" w:cs="Arial"/>
          <w:sz w:val="20"/>
        </w:rPr>
        <w:t xml:space="preserve"> </w:t>
      </w:r>
      <w:r w:rsidR="00EF1BF7">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Pr>
          <w:rFonts w:ascii="Arial" w:hAnsi="Arial" w:cs="Arial"/>
          <w:sz w:val="20"/>
        </w:rPr>
        <w:t>[</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proofErr w:type="gramStart"/>
      <w:r w:rsidR="002F434E">
        <w:rPr>
          <w:rFonts w:ascii="Arial" w:hAnsi="Arial" w:cs="Arial"/>
          <w:sz w:val="20"/>
        </w:rPr>
        <w:t>]</w:t>
      </w:r>
      <w:r w:rsidR="002F434E" w:rsidRPr="002F434E">
        <w:rPr>
          <w:rFonts w:ascii="Arial" w:hAnsi="Arial" w:cs="Arial"/>
          <w:sz w:val="20"/>
          <w:vertAlign w:val="superscript"/>
        </w:rPr>
        <w:t>2</w:t>
      </w:r>
      <w:proofErr w:type="gramEnd"/>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5D5090">
        <w:rPr>
          <w:rFonts w:ascii="Arial" w:hAnsi="Arial" w:cs="Arial"/>
          <w:sz w:val="20"/>
        </w:rPr>
        <w:t xml:space="preserve"> [</w:t>
      </w:r>
      <w:r w:rsidR="005D5090" w:rsidRPr="005D5090">
        <w:rPr>
          <w:rFonts w:ascii="Arial" w:hAnsi="Arial" w:cs="Arial"/>
          <w:sz w:val="20"/>
        </w:rPr>
        <w:t>receive an initial warning.  In the event that a further sound is produced by any such device in the possession of a player who has received an initial warning,</w:t>
      </w:r>
      <w:r w:rsidR="005D5090">
        <w:rPr>
          <w:rFonts w:ascii="Arial" w:hAnsi="Arial" w:cs="Arial"/>
          <w:sz w:val="20"/>
        </w:rPr>
        <w:t xml:space="preserve"> that player shall</w:t>
      </w:r>
      <w:r w:rsidR="005D5090" w:rsidRPr="005D5090">
        <w:rPr>
          <w:rFonts w:ascii="Arial" w:hAnsi="Arial" w:cs="Arial"/>
          <w:sz w:val="20"/>
        </w:rPr>
        <w:t>]</w:t>
      </w:r>
      <w:r w:rsidR="005D5090" w:rsidRPr="005D5090">
        <w:rPr>
          <w:rFonts w:ascii="Arial" w:hAnsi="Arial" w:cs="Arial"/>
          <w:sz w:val="20"/>
          <w:vertAlign w:val="superscript"/>
        </w:rPr>
        <w:t>3</w:t>
      </w:r>
      <w:r w:rsidR="00EF1BF7" w:rsidRPr="00EF1BF7">
        <w:rPr>
          <w:rFonts w:ascii="Arial" w:hAnsi="Arial" w:cs="Arial"/>
          <w:sz w:val="20"/>
        </w:rPr>
        <w:t xml:space="preserve"> lose the game</w:t>
      </w:r>
      <w:r w:rsidR="00EF1BF7">
        <w:rPr>
          <w:rFonts w:ascii="Arial" w:hAnsi="Arial" w:cs="Arial"/>
          <w:sz w:val="20"/>
        </w:rPr>
        <w:t>.</w:t>
      </w:r>
      <w:proofErr w:type="gramStart"/>
      <w:r w:rsidR="00EF1BF7">
        <w:rPr>
          <w:rFonts w:ascii="Arial" w:hAnsi="Arial" w:cs="Arial"/>
          <w:sz w:val="20"/>
        </w:rPr>
        <w:t>]</w:t>
      </w:r>
      <w:proofErr w:type="gramEnd"/>
      <w:r w:rsidR="00EF1BF7" w:rsidRPr="00A33CF2">
        <w:rPr>
          <w:rFonts w:ascii="Arial" w:hAnsi="Arial" w:cs="Arial"/>
          <w:sz w:val="20"/>
          <w:vertAlign w:val="superscript"/>
        </w:rPr>
        <w:t>1</w:t>
      </w:r>
      <w:r w:rsidR="006449B6">
        <w:rPr>
          <w:rFonts w:ascii="Arial" w:hAnsi="Arial" w:cs="Arial"/>
          <w:sz w:val="20"/>
        </w:rPr>
        <w:t xml:space="preserve">  </w:t>
      </w:r>
      <w:r w:rsidR="005D5090">
        <w:rPr>
          <w:rFonts w:ascii="Arial" w:hAnsi="Arial" w:cs="Arial"/>
          <w:sz w:val="20"/>
        </w:rPr>
        <w:t>[</w:t>
      </w:r>
      <w:r w:rsidR="006449B6" w:rsidRPr="006449B6">
        <w:rPr>
          <w:rFonts w:ascii="Arial" w:hAnsi="Arial" w:cs="Arial"/>
          <w:sz w:val="20"/>
        </w:rPr>
        <w:t>If any such device is used as a playing aid whether or not in the playing area, the player shall lose the game.</w:t>
      </w:r>
      <w:proofErr w:type="gramStart"/>
      <w:r w:rsidR="007C2FE7" w:rsidRPr="004249D4">
        <w:rPr>
          <w:rFonts w:ascii="Arial" w:hAnsi="Arial" w:cs="Arial"/>
          <w:sz w:val="20"/>
        </w:rPr>
        <w:t>]</w:t>
      </w:r>
      <w:proofErr w:type="gramEnd"/>
      <w:r w:rsidR="007C2FE7" w:rsidRPr="004249D4">
        <w:rPr>
          <w:rFonts w:ascii="Arial" w:hAnsi="Arial" w:cs="Arial"/>
          <w:sz w:val="20"/>
          <w:vertAlign w:val="superscript"/>
        </w:rPr>
        <w:t>3</w:t>
      </w:r>
    </w:p>
    <w:p w:rsidR="006449B6" w:rsidRDefault="007C2FE7"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6449B6" w:rsidRPr="006449B6">
        <w:rPr>
          <w:rFonts w:ascii="Arial" w:hAnsi="Arial" w:cs="Arial"/>
          <w:sz w:val="20"/>
        </w:rPr>
        <w:t>Where an offending player loses in accordance with the preceding paragraph, his opponent shall win.</w:t>
      </w:r>
      <w:proofErr w:type="gramStart"/>
      <w:r w:rsidRPr="004249D4">
        <w:rPr>
          <w:rFonts w:ascii="Arial" w:hAnsi="Arial" w:cs="Arial"/>
          <w:sz w:val="20"/>
        </w:rPr>
        <w:t>]</w:t>
      </w:r>
      <w:proofErr w:type="gramEnd"/>
      <w:r w:rsidRPr="004249D4">
        <w:rPr>
          <w:rFonts w:ascii="Arial" w:hAnsi="Arial" w:cs="Arial"/>
          <w:sz w:val="20"/>
          <w:vertAlign w:val="superscript"/>
        </w:rPr>
        <w:t>3</w:t>
      </w:r>
    </w:p>
    <w:p w:rsidR="004249D4" w:rsidRPr="003B2BE4" w:rsidRDefault="007C2FE7"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4249D4" w:rsidRPr="004249D4">
        <w:rPr>
          <w:rFonts w:ascii="Arial" w:hAnsi="Arial" w:cs="Arial"/>
          <w:sz w:val="20"/>
        </w:rPr>
        <w:t>Should a player use an electronic device as a playing aid during play</w:t>
      </w:r>
      <w:r w:rsidR="007E6066">
        <w:rPr>
          <w:rFonts w:ascii="Arial" w:hAnsi="Arial" w:cs="Arial"/>
          <w:sz w:val="20"/>
        </w:rPr>
        <w:t>,</w:t>
      </w:r>
      <w:r w:rsidR="004249D4" w:rsidRPr="004249D4">
        <w:rPr>
          <w:rFonts w:ascii="Arial" w:hAnsi="Arial" w:cs="Arial"/>
          <w:sz w:val="20"/>
        </w:rPr>
        <w:t xml:space="preserve"> the matter shall be reported to the </w:t>
      </w:r>
      <w:hyperlink w:anchor="bl_controller" w:history="1">
        <w:r w:rsidR="004249D4" w:rsidRPr="003B2BE4">
          <w:rPr>
            <w:rStyle w:val="Hyperlink"/>
          </w:rPr>
          <w:t>Controller</w:t>
        </w:r>
      </w:hyperlink>
      <w:r w:rsidR="004249D4" w:rsidRPr="004249D4">
        <w:rPr>
          <w:rFonts w:ascii="Arial" w:hAnsi="Arial" w:cs="Arial"/>
          <w:sz w:val="20"/>
        </w:rPr>
        <w:t>.</w:t>
      </w:r>
      <w:proofErr w:type="gramStart"/>
      <w:r w:rsidR="004249D4" w:rsidRPr="004249D4">
        <w:rPr>
          <w:rFonts w:ascii="Arial" w:hAnsi="Arial" w:cs="Arial"/>
          <w:sz w:val="20"/>
        </w:rPr>
        <w:t>]</w:t>
      </w:r>
      <w:proofErr w:type="gramEnd"/>
      <w:r w:rsidR="004249D4" w:rsidRPr="004249D4">
        <w:rPr>
          <w:rFonts w:ascii="Arial" w:hAnsi="Arial" w:cs="Arial"/>
          <w:sz w:val="20"/>
          <w:vertAlign w:val="superscript"/>
        </w:rPr>
        <w:t>3</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9B09C3"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Amended on 28 June 2009 at the AGM.</w:t>
      </w:r>
    </w:p>
    <w:p w:rsidR="004A5267" w:rsidRPr="00926FB5"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4A5267">
        <w:rPr>
          <w:rFonts w:ascii="Arial" w:hAnsi="Arial" w:cs="Arial"/>
          <w:sz w:val="16"/>
          <w:szCs w:val="16"/>
        </w:rPr>
        <w:t>Amended on 13 June 2010 at the AGM.</w:t>
      </w:r>
    </w:p>
    <w:p w:rsidR="00A22792" w:rsidRPr="003B2BE4" w:rsidRDefault="0035131C" w:rsidP="0035131C">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Amended on 18 August 2014 at the EGM.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9" w:name="bl_2_9_1"/>
      <w:bookmarkEnd w:id="69"/>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70" w:name="bl_2_10"/>
      <w:bookmarkEnd w:id="70"/>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lastRenderedPageBreak/>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1" w:name="bl_2_10_5"/>
      <w:bookmarkEnd w:id="71"/>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2" w:name="bl_3_1_1"/>
      <w:bookmarkEnd w:id="72"/>
      <w:r w:rsidRPr="003B2BE4">
        <w:rPr>
          <w:rFonts w:ascii="Arial" w:hAnsi="Arial" w:cs="Arial"/>
          <w:sz w:val="20"/>
        </w:rPr>
        <w:t>3.1.1</w:t>
      </w:r>
      <w:r w:rsidRPr="003B2BE4">
        <w:rPr>
          <w:rFonts w:ascii="Arial" w:hAnsi="Arial" w:cs="Arial"/>
          <w:sz w:val="20"/>
        </w:rPr>
        <w:tab/>
      </w:r>
      <w:bookmarkStart w:id="73" w:name="clubComp"/>
      <w:bookmarkEnd w:id="73"/>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4" w:name="bl_3_1_1b"/>
      <w:bookmarkEnd w:id="74"/>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proofErr w:type="gramStart"/>
      <w:r w:rsidRPr="00326598">
        <w:rPr>
          <w:rFonts w:ascii="Arial" w:hAnsi="Arial" w:cs="Arial"/>
          <w:sz w:val="20"/>
        </w:rPr>
        <w:t>]</w:t>
      </w:r>
      <w:r w:rsidRPr="00326598">
        <w:rPr>
          <w:rFonts w:ascii="Arial" w:hAnsi="Arial" w:cs="Arial"/>
          <w:sz w:val="20"/>
          <w:vertAlign w:val="superscript"/>
        </w:rPr>
        <w:t>1</w:t>
      </w:r>
      <w:proofErr w:type="gramEnd"/>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75" w:name="bl_3_1_2"/>
      <w:bookmarkEnd w:id="75"/>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proofErr w:type="gramStart"/>
      <w:r w:rsidR="000970C6">
        <w:rPr>
          <w:rFonts w:ascii="Arial" w:hAnsi="Arial" w:cs="Arial"/>
          <w:sz w:val="20"/>
        </w:rPr>
        <w:t>]</w:t>
      </w:r>
      <w:r w:rsidR="000970C6" w:rsidRPr="000970C6">
        <w:rPr>
          <w:rFonts w:ascii="Arial" w:hAnsi="Arial" w:cs="Arial"/>
          <w:sz w:val="20"/>
          <w:vertAlign w:val="superscript"/>
        </w:rPr>
        <w:t>1</w:t>
      </w:r>
      <w:proofErr w:type="gramEnd"/>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97162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proofErr w:type="gramStart"/>
      <w:r w:rsidR="00B95142" w:rsidRPr="00AA3F1A">
        <w:rPr>
          <w:rFonts w:ascii="Arial" w:hAnsi="Arial" w:cs="Arial"/>
          <w:sz w:val="20"/>
        </w:rPr>
        <w:t>]</w:t>
      </w:r>
      <w:r w:rsidR="00B95142">
        <w:rPr>
          <w:rFonts w:ascii="Arial" w:hAnsi="Arial" w:cs="Arial"/>
          <w:sz w:val="20"/>
          <w:vertAlign w:val="superscript"/>
        </w:rPr>
        <w:t>2</w:t>
      </w:r>
      <w:proofErr w:type="gramEnd"/>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proofErr w:type="gramStart"/>
      <w:r w:rsidR="00CA2C66" w:rsidRPr="00AA3F1A">
        <w:rPr>
          <w:rFonts w:ascii="Arial" w:hAnsi="Arial" w:cs="Arial"/>
          <w:sz w:val="20"/>
        </w:rPr>
        <w:t>]</w:t>
      </w:r>
      <w:r w:rsidR="00CA2C66">
        <w:rPr>
          <w:rFonts w:ascii="Arial" w:hAnsi="Arial" w:cs="Arial"/>
          <w:sz w:val="20"/>
          <w:vertAlign w:val="superscript"/>
        </w:rPr>
        <w:t>2</w:t>
      </w:r>
      <w:proofErr w:type="gramEnd"/>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AA3F1A" w:rsidRDefault="00AA3F1A" w:rsidP="00B9514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p>
    <w:p w:rsidR="0075778A" w:rsidRPr="003B2BE4" w:rsidRDefault="005274A1" w:rsidP="0014132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  Players nominated for a team and any stronger players shall be ineligible to play for any lower team</w:t>
      </w:r>
      <w:r w:rsidR="004A5C3F">
        <w:rPr>
          <w:rFonts w:ascii="Arial" w:hAnsi="Arial" w:cs="Arial"/>
          <w:sz w:val="20"/>
        </w:rPr>
        <w:t xml:space="preserve"> [</w:t>
      </w:r>
      <w:r w:rsidR="004A5C3F" w:rsidRPr="004A5C3F">
        <w:rPr>
          <w:rFonts w:ascii="Arial" w:hAnsi="Arial" w:cs="Arial"/>
          <w:sz w:val="20"/>
        </w:rPr>
        <w:t>in divisions I-IV</w:t>
      </w:r>
      <w:proofErr w:type="gramStart"/>
      <w:r w:rsidR="004A5C3F">
        <w:rPr>
          <w:rFonts w:ascii="Arial" w:hAnsi="Arial" w:cs="Arial"/>
          <w:sz w:val="20"/>
        </w:rPr>
        <w:t>]</w:t>
      </w:r>
      <w:r w:rsidR="004A5C3F">
        <w:rPr>
          <w:rFonts w:ascii="Arial" w:hAnsi="Arial" w:cs="Arial"/>
          <w:sz w:val="20"/>
          <w:vertAlign w:val="superscript"/>
        </w:rPr>
        <w:t>3</w:t>
      </w:r>
      <w:proofErr w:type="gramEnd"/>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proofErr w:type="gramStart"/>
      <w:r w:rsidR="0022082F">
        <w:rPr>
          <w:rFonts w:ascii="Arial" w:hAnsi="Arial" w:cs="Arial"/>
          <w:sz w:val="20"/>
        </w:rPr>
        <w:t>]</w:t>
      </w:r>
      <w:r w:rsidR="0022082F" w:rsidRPr="0022082F">
        <w:rPr>
          <w:rFonts w:ascii="Arial" w:hAnsi="Arial" w:cs="Arial"/>
          <w:sz w:val="20"/>
          <w:vertAlign w:val="superscript"/>
        </w:rPr>
        <w:t>4</w:t>
      </w:r>
      <w:proofErr w:type="gramEnd"/>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22082F" w:rsidRDefault="0022082F" w:rsidP="0014132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141322" w:rsidRDefault="00141322"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5274A1" w:rsidRDefault="005274A1" w:rsidP="0095269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9D72F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proofErr w:type="gramStart"/>
      <w:r w:rsidR="00966DB4" w:rsidRPr="00966DB4">
        <w:rPr>
          <w:rFonts w:ascii="Arial" w:hAnsi="Arial" w:cs="Arial"/>
          <w:sz w:val="20"/>
        </w:rPr>
        <w:t>]</w:t>
      </w:r>
      <w:r w:rsidR="00966DB4" w:rsidRPr="00966DB4">
        <w:rPr>
          <w:rFonts w:ascii="Arial" w:hAnsi="Arial" w:cs="Arial"/>
          <w:sz w:val="20"/>
          <w:vertAlign w:val="superscript"/>
        </w:rPr>
        <w:t>2</w:t>
      </w:r>
      <w:proofErr w:type="gramEnd"/>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w:t>
      </w:r>
      <w:proofErr w:type="gramStart"/>
      <w:r w:rsidR="00E72D14">
        <w:rPr>
          <w:rFonts w:ascii="Arial" w:hAnsi="Arial" w:cs="Arial"/>
          <w:sz w:val="20"/>
        </w:rPr>
        <w:t>a</w:t>
      </w:r>
      <w:proofErr w:type="gramEnd"/>
      <w:r w:rsidR="00E72D14">
        <w:rPr>
          <w:rFonts w:ascii="Arial" w:hAnsi="Arial" w:cs="Arial"/>
          <w:sz w:val="20"/>
        </w:rPr>
        <w:t>)</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proofErr w:type="gramStart"/>
      <w:r w:rsidR="00E72D14">
        <w:rPr>
          <w:rFonts w:ascii="Arial" w:hAnsi="Arial" w:cs="Arial"/>
          <w:sz w:val="20"/>
        </w:rPr>
        <w:t>]</w:t>
      </w:r>
      <w:r w:rsidR="00E72D14" w:rsidRPr="00E72D14">
        <w:rPr>
          <w:rFonts w:ascii="Arial" w:hAnsi="Arial" w:cs="Arial"/>
          <w:sz w:val="20"/>
          <w:vertAlign w:val="superscript"/>
        </w:rPr>
        <w:t>2</w:t>
      </w:r>
      <w:proofErr w:type="gramEnd"/>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6" w:name="bl_3_2_4b"/>
      <w:bookmarkEnd w:id="76"/>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966DB4">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966DB4" w:rsidRPr="00966DB4" w:rsidRDefault="00966DB4" w:rsidP="00966DB4">
      <w:pPr>
        <w:ind w:left="1134" w:hanging="425"/>
      </w:pP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proofErr w:type="gramStart"/>
      <w:r w:rsidR="00F7096A">
        <w:rPr>
          <w:rFonts w:ascii="Arial" w:hAnsi="Arial" w:cs="Arial"/>
          <w:sz w:val="20"/>
        </w:rPr>
        <w:t>]</w:t>
      </w:r>
      <w:r w:rsidR="00F7096A" w:rsidRPr="00F7096A">
        <w:rPr>
          <w:rFonts w:ascii="Arial" w:hAnsi="Arial" w:cs="Arial"/>
          <w:sz w:val="20"/>
          <w:vertAlign w:val="superscript"/>
        </w:rPr>
        <w:t>1</w:t>
      </w:r>
      <w:proofErr w:type="gramEnd"/>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7" w:name="bl_3_2_5_1"/>
      <w:bookmarkEnd w:id="77"/>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lastRenderedPageBreak/>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78" w:name="bl_3_3_1"/>
      <w:bookmarkEnd w:id="78"/>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79" w:name="bl_3_3_1_1"/>
      <w:bookmarkEnd w:id="79"/>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proofErr w:type="gramStart"/>
      <w:r>
        <w:rPr>
          <w:rFonts w:ascii="Arial" w:hAnsi="Arial" w:cs="Arial"/>
          <w:sz w:val="20"/>
        </w:rPr>
        <w:t>]</w:t>
      </w:r>
      <w:r w:rsidRPr="006C0545">
        <w:rPr>
          <w:rFonts w:ascii="Arial" w:hAnsi="Arial" w:cs="Arial"/>
          <w:sz w:val="20"/>
          <w:vertAlign w:val="superscript"/>
        </w:rPr>
        <w:t>2</w:t>
      </w:r>
      <w:proofErr w:type="gramEnd"/>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0" w:name="bl_3_3_1_2"/>
      <w:bookmarkEnd w:id="80"/>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roofErr w:type="gramStart"/>
      <w:r>
        <w:rPr>
          <w:rFonts w:ascii="Arial" w:hAnsi="Arial" w:cs="Arial"/>
          <w:sz w:val="20"/>
        </w:rPr>
        <w:t>]</w:t>
      </w:r>
      <w:proofErr w:type="gramEnd"/>
      <w:r w:rsidRPr="006C0545">
        <w:rPr>
          <w:rFonts w:ascii="Arial" w:hAnsi="Arial" w:cs="Arial"/>
          <w:sz w:val="20"/>
          <w:vertAlign w:val="superscript"/>
        </w:rPr>
        <w:t>2</w:t>
      </w:r>
    </w:p>
    <w:p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lastRenderedPageBreak/>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1" w:name="bl_3_4_3"/>
      <w:bookmarkEnd w:id="81"/>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Annual Finance Meeting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2" w:name="bl_3_4_4"/>
      <w:bookmarkEnd w:id="82"/>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lastRenderedPageBreak/>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proofErr w:type="gramStart"/>
      <w:r w:rsidR="00A43494" w:rsidRPr="00A43494">
        <w:rPr>
          <w:rFonts w:ascii="Arial" w:hAnsi="Arial" w:cs="Arial"/>
          <w:sz w:val="20"/>
        </w:rPr>
        <w:t>]</w:t>
      </w:r>
      <w:r w:rsidR="00AC511C" w:rsidRPr="00A43494">
        <w:rPr>
          <w:rFonts w:ascii="Arial" w:hAnsi="Arial" w:cs="Arial"/>
          <w:sz w:val="20"/>
          <w:vertAlign w:val="superscript"/>
        </w:rPr>
        <w:t>3</w:t>
      </w:r>
      <w:proofErr w:type="gramEnd"/>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proofErr w:type="gramStart"/>
      <w:r w:rsidR="00BF5E4B">
        <w:rPr>
          <w:rFonts w:ascii="Arial" w:hAnsi="Arial" w:cs="Arial"/>
          <w:sz w:val="20"/>
        </w:rPr>
        <w:t>]</w:t>
      </w:r>
      <w:r w:rsidR="00BF5E4B" w:rsidRPr="00BF5E4B">
        <w:rPr>
          <w:rFonts w:ascii="Arial" w:hAnsi="Arial" w:cs="Arial"/>
          <w:sz w:val="20"/>
          <w:vertAlign w:val="superscript"/>
        </w:rPr>
        <w:t>2</w:t>
      </w:r>
      <w:proofErr w:type="gramEnd"/>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proofErr w:type="gramStart"/>
      <w:r w:rsidR="00A313DC">
        <w:rPr>
          <w:rFonts w:ascii="Arial" w:hAnsi="Arial" w:cs="Arial"/>
          <w:color w:val="000000"/>
          <w:sz w:val="20"/>
        </w:rPr>
        <w:t>]</w:t>
      </w:r>
      <w:r w:rsidR="00A313DC" w:rsidRPr="00A313DC">
        <w:rPr>
          <w:rFonts w:ascii="Arial" w:hAnsi="Arial" w:cs="Arial"/>
          <w:color w:val="000000"/>
          <w:sz w:val="20"/>
          <w:vertAlign w:val="superscript"/>
        </w:rPr>
        <w:t>5</w:t>
      </w:r>
      <w:proofErr w:type="gramEnd"/>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rsidR="007A14C9" w:rsidRDefault="007A14C9" w:rsidP="007A14C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rsidR="007A14C9" w:rsidRDefault="007A14C9" w:rsidP="00A313D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3.7</w:t>
      </w:r>
      <w:r w:rsidRPr="003B2BE4">
        <w:rPr>
          <w:rFonts w:ascii="Arial" w:hAnsi="Arial" w:cs="Arial"/>
          <w:b/>
          <w:sz w:val="20"/>
        </w:rPr>
        <w:tab/>
        <w:t>Results and Adjudications</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Annual Finance Meeting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Annual Finance Meeting from time to time in respect of each unsuccessful adjudication claim after the fifth.</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five diagrams of the position in dispute</w:t>
      </w:r>
      <w:r w:rsidR="002B72A8" w:rsidRPr="003B2BE4">
        <w:rPr>
          <w:rFonts w:ascii="Arial" w:hAnsi="Arial" w:cs="Arial"/>
          <w:sz w:val="20"/>
        </w:rPr>
        <w:t>,</w:t>
      </w:r>
      <w:r w:rsidRPr="003B2BE4">
        <w:rPr>
          <w:rFonts w:ascii="Arial" w:hAnsi="Arial" w:cs="Arial"/>
          <w:sz w:val="20"/>
        </w:rPr>
        <w:t xml:space="preserve"> </w:t>
      </w:r>
      <w:r w:rsidR="002B72A8" w:rsidRPr="003B2BE4">
        <w:rPr>
          <w:rFonts w:ascii="Arial" w:hAnsi="Arial" w:cs="Arial"/>
          <w:sz w:val="20"/>
        </w:rPr>
        <w:t xml:space="preserve">together with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w:t>
      </w:r>
      <w:proofErr w:type="gramStart"/>
      <w:r w:rsidR="00EC56F7">
        <w:rPr>
          <w:rFonts w:ascii="Arial" w:hAnsi="Arial" w:cs="Arial"/>
          <w:sz w:val="20"/>
        </w:rPr>
        <w:t>T</w:t>
      </w:r>
      <w:r w:rsidRPr="003B2BE4">
        <w:rPr>
          <w:rFonts w:ascii="Arial" w:hAnsi="Arial" w:cs="Arial"/>
          <w:sz w:val="20"/>
        </w:rPr>
        <w:t>he</w:t>
      </w:r>
      <w:proofErr w:type="gramEnd"/>
      <w:r w:rsidRPr="003B2BE4">
        <w:rPr>
          <w:rFonts w:ascii="Arial" w:hAnsi="Arial" w:cs="Arial"/>
          <w:sz w:val="20"/>
        </w:rPr>
        <w:t xml:space="preserv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four additional adjudicators nominated by the </w:t>
      </w:r>
      <w:hyperlink w:anchor="bl_controller" w:history="1">
        <w:r w:rsidR="00E37270" w:rsidRPr="003B2BE4">
          <w:rPr>
            <w:rStyle w:val="Hyperlink"/>
          </w:rPr>
          <w:t>Controller</w:t>
        </w:r>
      </w:hyperlink>
      <w:r w:rsidRPr="003B2BE4">
        <w:rPr>
          <w:rFonts w:ascii="Arial" w:hAnsi="Arial" w:cs="Arial"/>
          <w:sz w:val="20"/>
        </w:rPr>
        <w:t xml:space="preserve">, and the majority decision shall be final.  If the appeal is not upheld, the appellant </w:t>
      </w:r>
      <w:hyperlink w:anchor="bl_club" w:history="1">
        <w:r w:rsidR="004E1CAC" w:rsidRPr="003B2BE4">
          <w:rPr>
            <w:rStyle w:val="Hyperlink"/>
          </w:rPr>
          <w:t>Club</w:t>
        </w:r>
      </w:hyperlink>
      <w:r w:rsidRPr="003B2BE4">
        <w:rPr>
          <w:rFonts w:ascii="Arial" w:hAnsi="Arial" w:cs="Arial"/>
          <w:sz w:val="20"/>
        </w:rPr>
        <w:t xml:space="preserve"> shall pay an appeal fee, as determined by the Annual Finance Meeting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Default="00EC56F7" w:rsidP="00EC56F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[840]</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E922BA" w:rsidRDefault="00E922BA" w:rsidP="006E27E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6E27EA" w:rsidRPr="00926FB5" w:rsidRDefault="006E27EA" w:rsidP="006E27E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 xml:space="preserve">teams shall determine which finishes </w:t>
      </w:r>
      <w:r w:rsidR="00926FB5" w:rsidRPr="00926FB5">
        <w:rPr>
          <w:rFonts w:ascii="Arial" w:hAnsi="Arial" w:cs="Arial"/>
          <w:sz w:val="20"/>
        </w:rPr>
        <w:lastRenderedPageBreak/>
        <w:t>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proofErr w:type="gramStart"/>
      <w:r w:rsidR="00C03E32">
        <w:rPr>
          <w:rFonts w:ascii="Arial" w:hAnsi="Arial" w:cs="Arial"/>
          <w:sz w:val="20"/>
        </w:rPr>
        <w:t>]</w:t>
      </w:r>
      <w:r w:rsidR="00C03E32" w:rsidRPr="00C03E32">
        <w:rPr>
          <w:rFonts w:ascii="Arial" w:hAnsi="Arial" w:cs="Arial"/>
          <w:sz w:val="20"/>
          <w:vertAlign w:val="superscript"/>
        </w:rPr>
        <w:t>2</w:t>
      </w:r>
      <w:proofErr w:type="gramEnd"/>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9E7013">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r>
      <w:r w:rsidRPr="003724AA">
        <w:rPr>
          <w:rFonts w:ascii="Arial" w:hAnsi="Arial" w:cs="Arial"/>
          <w:sz w:val="16"/>
          <w:szCs w:val="16"/>
          <w:lang w:eastAsia="en-GB"/>
        </w:rPr>
        <w:lastRenderedPageBreak/>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9D6B3A" w:rsidRDefault="00C03E32"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9D6B3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[140]</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9310DD" w:rsidRPr="00926FB5" w:rsidRDefault="009310DD" w:rsidP="009310D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proofErr w:type="gramStart"/>
      <w:r w:rsidRPr="007660C3">
        <w:rPr>
          <w:rFonts w:ascii="Arial" w:hAnsi="Arial" w:cs="Arial"/>
          <w:sz w:val="20"/>
        </w:rPr>
        <w:t>]</w:t>
      </w:r>
      <w:r w:rsidRPr="007660C3">
        <w:rPr>
          <w:rFonts w:ascii="Arial" w:hAnsi="Arial" w:cs="Arial"/>
          <w:sz w:val="20"/>
          <w:vertAlign w:val="superscript"/>
        </w:rPr>
        <w:t>1</w:t>
      </w:r>
      <w:proofErr w:type="gramEnd"/>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A22792">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winner of the overall best game prize will receive the Frank Parr Memorial Prize.</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in duplicate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832E2B" w:rsidRDefault="00832E2B" w:rsidP="00782E2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rsidR="00782E2A" w:rsidRPr="00926FB5" w:rsidRDefault="00782E2A" w:rsidP="00782E2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lastRenderedPageBreak/>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FD5B9D" w:rsidRPr="00926FB5" w:rsidRDefault="00FD5B9D" w:rsidP="00FD5B9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D5B9D" w:rsidRPr="00FD5B9D" w:rsidRDefault="00FD5B9D" w:rsidP="002354D1">
      <w:pPr>
        <w:tabs>
          <w:tab w:val="left" w:pos="567"/>
        </w:tabs>
        <w:overflowPunct w:val="0"/>
        <w:autoSpaceDE w:val="0"/>
        <w:autoSpaceDN w:val="0"/>
        <w:adjustRightInd w:val="0"/>
        <w:spacing w:after="120"/>
        <w:ind w:left="567" w:right="17" w:hanging="567"/>
        <w:jc w:val="both"/>
        <w:textAlignment w:val="baseline"/>
        <w:rPr>
          <w:rFonts w:ascii="Arial" w:hAnsi="Arial" w:cs="Arial"/>
          <w:sz w:val="20"/>
        </w:rPr>
      </w:pPr>
    </w:p>
    <w:p w:rsidR="002354D1" w:rsidRPr="003B2BE4" w:rsidRDefault="002354D1" w:rsidP="002354D1">
      <w:pPr>
        <w:overflowPunct w:val="0"/>
        <w:autoSpaceDE w:val="0"/>
        <w:autoSpaceDN w:val="0"/>
        <w:adjustRightInd w:val="0"/>
        <w:spacing w:after="120"/>
        <w:ind w:right="17"/>
        <w:jc w:val="both"/>
        <w:textAlignment w:val="baseline"/>
        <w:rPr>
          <w:rFonts w:ascii="Arial" w:hAnsi="Arial" w:cs="Arial"/>
          <w:sz w:val="20"/>
        </w:rPr>
      </w:pPr>
    </w:p>
    <w:p w:rsidR="007476BD" w:rsidRPr="003B2BE4" w:rsidRDefault="007476BD" w:rsidP="000C4847">
      <w:pPr>
        <w:spacing w:after="120"/>
        <w:ind w:left="709" w:hanging="720"/>
        <w:jc w:val="both"/>
        <w:rPr>
          <w:rFonts w:ascii="Arial" w:hAnsi="Arial" w:cs="Arial"/>
          <w:sz w:val="20"/>
        </w:rPr>
        <w:sectPr w:rsidR="007476BD" w:rsidRPr="003B2BE4" w:rsidSect="0087743D">
          <w:headerReference w:type="default" r:id="rId15"/>
          <w:headerReference w:type="first" r:id="rId16"/>
          <w:pgSz w:w="11906" w:h="16838" w:code="9"/>
          <w:pgMar w:top="1440" w:right="1440" w:bottom="1440" w:left="1440" w:header="737" w:footer="851" w:gutter="0"/>
          <w:cols w:space="720"/>
          <w:titlePg/>
        </w:sectPr>
      </w:pPr>
    </w:p>
    <w:p w:rsidR="00A846A8" w:rsidRPr="003B2BE4" w:rsidRDefault="00A846A8" w:rsidP="004C0A3C">
      <w:pPr>
        <w:spacing w:after="120"/>
        <w:ind w:left="567" w:hanging="567"/>
        <w:jc w:val="both"/>
        <w:rPr>
          <w:rFonts w:ascii="Arial" w:hAnsi="Arial"/>
          <w:b/>
          <w:bCs/>
          <w:sz w:val="18"/>
          <w:szCs w:val="18"/>
        </w:rPr>
      </w:pPr>
      <w:bookmarkStart w:id="83" w:name="CA1985s9"/>
      <w:bookmarkEnd w:id="83"/>
      <w:r w:rsidRPr="003B2BE4">
        <w:rPr>
          <w:rStyle w:val="bold1"/>
          <w:rFonts w:ascii="Arial" w:hAnsi="Arial"/>
          <w:sz w:val="18"/>
          <w:szCs w:val="18"/>
        </w:rPr>
        <w:lastRenderedPageBreak/>
        <w:t>2</w:t>
      </w:r>
      <w:r w:rsidRPr="003B2BE4">
        <w:rPr>
          <w:rFonts w:ascii="Arial" w:hAnsi="Arial"/>
          <w:b/>
          <w:bCs/>
          <w:sz w:val="18"/>
          <w:szCs w:val="18"/>
        </w:rPr>
        <w:t xml:space="preserve"> </w:t>
      </w:r>
      <w:r w:rsidRPr="003B2BE4">
        <w:rPr>
          <w:rStyle w:val="tightinline1"/>
          <w:rFonts w:ascii="Arial" w:hAnsi="Arial"/>
          <w:b/>
          <w:bCs/>
          <w:sz w:val="18"/>
          <w:szCs w:val="18"/>
        </w:rPr>
        <w:t>Requirements with respect to memorandum</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(1)</w:t>
      </w:r>
      <w:r w:rsidRPr="003B2BE4">
        <w:rPr>
          <w:rStyle w:val="loose1"/>
          <w:rFonts w:ascii="Arial" w:hAnsi="Arial"/>
          <w:sz w:val="18"/>
          <w:szCs w:val="18"/>
          <w:specVanish w:val="0"/>
        </w:rPr>
        <w:tab/>
        <w:t xml:space="preserve">The memorandum of every company must state—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name of the company;</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whether</w:t>
      </w:r>
      <w:proofErr w:type="gramEnd"/>
      <w:r w:rsidRPr="003B2BE4">
        <w:rPr>
          <w:rStyle w:val="loose1"/>
          <w:rFonts w:ascii="Arial" w:hAnsi="Arial"/>
          <w:sz w:val="18"/>
          <w:szCs w:val="18"/>
          <w:specVanish w:val="0"/>
        </w:rPr>
        <w:t xml:space="preserve"> the registered office of the company is to be situated in England and Wales, or in Scotland;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objects of the company.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(2)</w:t>
      </w:r>
      <w:r w:rsidRPr="003B2BE4">
        <w:rPr>
          <w:rStyle w:val="loose1"/>
          <w:rFonts w:ascii="Arial" w:hAnsi="Arial"/>
          <w:sz w:val="18"/>
          <w:szCs w:val="18"/>
          <w:specVanish w:val="0"/>
        </w:rPr>
        <w:tab/>
        <w:t>Alternatively to subsection (1</w:t>
      </w:r>
      <w:proofErr w:type="gramStart"/>
      <w:r w:rsidRPr="003B2BE4">
        <w:rPr>
          <w:rStyle w:val="loose1"/>
          <w:rFonts w:ascii="Arial" w:hAnsi="Arial"/>
          <w:sz w:val="18"/>
          <w:szCs w:val="18"/>
          <w:specVanish w:val="0"/>
        </w:rPr>
        <w:t>)(</w:t>
      </w:r>
      <w:proofErr w:type="gramEnd"/>
      <w:r w:rsidRPr="003B2BE4">
        <w:rPr>
          <w:rStyle w:val="loose1"/>
          <w:rFonts w:ascii="Arial" w:hAnsi="Arial"/>
          <w:sz w:val="18"/>
          <w:szCs w:val="18"/>
          <w:specVanish w:val="0"/>
        </w:rPr>
        <w:t>b), the memorandum may contain a statement that the company's registered office is to be situated in Wales; and a company whose registered office is situated in Wales may by special resolution alter its memorandum so as to provide that its registered office is to be so situated.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(3)</w:t>
      </w:r>
      <w:r w:rsidRPr="003B2BE4">
        <w:rPr>
          <w:rStyle w:val="loose1"/>
          <w:rFonts w:ascii="Arial" w:hAnsi="Arial"/>
          <w:sz w:val="18"/>
          <w:szCs w:val="18"/>
          <w:specVanish w:val="0"/>
        </w:rPr>
        <w:tab/>
        <w:t>The memorandum of a company limited by shares or by guarantee must also state that the liability of its members is limited.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(4)</w:t>
      </w:r>
      <w:r w:rsidRPr="003B2BE4">
        <w:rPr>
          <w:rStyle w:val="loose1"/>
          <w:rFonts w:ascii="Arial" w:hAnsi="Arial"/>
          <w:sz w:val="18"/>
          <w:szCs w:val="18"/>
          <w:specVanish w:val="0"/>
        </w:rPr>
        <w:tab/>
        <w:t>The memorandum of a company limited by guarantee must also state that each member undertakes to contribute to the assets of the company if it should be wound up while he is a member, or within one year after he ceases to be a member, for payment of the debts and liabilities of the company contracted before he ceases to be a member, and of the costs, charges and expenses of winding up, and for adjustment of the rights of the contributories among themselves, such amount as may be required, not exceeding a specified amount.</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(5)</w:t>
      </w:r>
      <w:r w:rsidRPr="003B2BE4">
        <w:rPr>
          <w:rStyle w:val="loose1"/>
          <w:rFonts w:ascii="Arial" w:hAnsi="Arial"/>
          <w:sz w:val="18"/>
          <w:szCs w:val="18"/>
          <w:specVanish w:val="0"/>
        </w:rPr>
        <w:tab/>
        <w:t xml:space="preserve">In the case of a company having a share capital—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memorandum must also (unless it is an unlimited company) state the amount of the share capital with which the company proposes to be registered and the division of the share capital into shares of a fixed amount;</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no</w:t>
      </w:r>
      <w:proofErr w:type="gramEnd"/>
      <w:r w:rsidRPr="003B2BE4">
        <w:rPr>
          <w:rStyle w:val="loose1"/>
          <w:rFonts w:ascii="Arial" w:hAnsi="Arial"/>
          <w:sz w:val="18"/>
          <w:szCs w:val="18"/>
          <w:specVanish w:val="0"/>
        </w:rPr>
        <w:t xml:space="preserve"> subscriber of the memorandum may take less than one share; 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there</w:t>
      </w:r>
      <w:proofErr w:type="gramEnd"/>
      <w:r w:rsidRPr="003B2BE4">
        <w:rPr>
          <w:rStyle w:val="loose1"/>
          <w:rFonts w:ascii="Arial" w:hAnsi="Arial"/>
          <w:sz w:val="18"/>
          <w:szCs w:val="18"/>
          <w:specVanish w:val="0"/>
        </w:rPr>
        <w:t xml:space="preserve"> must be shown in the memorandum against the name of each subscriber the number of shares he takes.</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w:t>
      </w:r>
      <w:r w:rsidRPr="003B2BE4">
        <w:rPr>
          <w:rStyle w:val="loose1"/>
          <w:rFonts w:ascii="Arial" w:hAnsi="Arial"/>
          <w:sz w:val="18"/>
          <w:szCs w:val="18"/>
          <w:specVanish w:val="0"/>
        </w:rPr>
        <w:tab/>
        <w:t>[Subject to subsection (6A), the memorandum] must be signed by each subscriber in the presence of at least one witness, who must attest the signature...</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[(6A)</w:t>
      </w:r>
      <w:r w:rsidRPr="003B2BE4">
        <w:rPr>
          <w:rStyle w:val="loose1"/>
          <w:rFonts w:ascii="Arial" w:hAnsi="Arial"/>
          <w:sz w:val="18"/>
          <w:szCs w:val="18"/>
          <w:specVanish w:val="0"/>
        </w:rPr>
        <w:tab/>
        <w:t>Where the memorandum is delivered to the registrar otherwise than in legible form and is authenticated by each subscriber in such manner as is directed by the registrar, the requirements in subsection (6) for signature in the presence of at least one witness and for attestation of the signature do not apply.]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(7)</w:t>
      </w:r>
      <w:r w:rsidRPr="003B2BE4">
        <w:rPr>
          <w:rStyle w:val="loose1"/>
          <w:rFonts w:ascii="Arial" w:hAnsi="Arial"/>
          <w:sz w:val="18"/>
          <w:szCs w:val="18"/>
          <w:specVanish w:val="0"/>
        </w:rPr>
        <w:tab/>
        <w:t>A company may not alter the conditions contained in its memorandum except in the cases, in the mode and to the extent, for which express provision is made by this Act.</w:t>
      </w:r>
    </w:p>
    <w:p w:rsidR="00A846A8" w:rsidRPr="003B2BE4" w:rsidRDefault="00A846A8"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[4 Resolution to alter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memorandum with respect to the statement of the company's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an application is made under the following section, an alteration does not have effect except in so far as it is confirmed by the court.]</w:t>
      </w:r>
    </w:p>
    <w:p w:rsidR="00334FBD" w:rsidRPr="003B2BE4" w:rsidRDefault="00334FBD"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9</w:t>
      </w:r>
      <w:r w:rsidRPr="003B2BE4">
        <w:rPr>
          <w:rFonts w:ascii="Arial" w:hAnsi="Arial"/>
          <w:b/>
          <w:bCs/>
          <w:sz w:val="18"/>
          <w:szCs w:val="18"/>
          <w:lang w:eastAsia="en-GB" w:bidi="he-IL"/>
        </w:rPr>
        <w:tab/>
        <w:t>Alteration of articles by special resolution</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the provisions of this Act and to the conditions contained in its memorandum, 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articles.</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Alterations so made in the articles are (subject to this Act) as valid as if originally contained in them, and are subject in like manner to alteration by special resolution.</w:t>
      </w:r>
    </w:p>
    <w:p w:rsidR="00EA2919" w:rsidRPr="003B2BE4" w:rsidRDefault="00EA2919"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13</w:t>
      </w:r>
      <w:r w:rsidRPr="003B2BE4">
        <w:rPr>
          <w:rFonts w:ascii="Arial" w:hAnsi="Arial"/>
          <w:b/>
          <w:bCs/>
          <w:sz w:val="18"/>
          <w:szCs w:val="18"/>
          <w:lang w:eastAsia="en-GB" w:bidi="he-IL"/>
        </w:rPr>
        <w:tab/>
        <w:t>Effect of registration</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On the registration of a company's memorandum, the registrar of companies shall give a certificate that the company is incorporated and, in the case of a limited company, that it is limited.</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certificate may be signed by the registrar, or authenticated by his official seal.</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From the date of incorporation mentioned in the certificate, the subscribers of the memorandum, together with such other persons as may from time to time become members of the company, shall be a body corporate by the name contained in the memorandum.</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That body corporate is then capable forthwith of exercising all the functions of an incorporated company, but with such liability on the part of its members to contribute to its assets in the event of its being wound </w:t>
      </w:r>
      <w:r w:rsidRPr="003B2BE4">
        <w:rPr>
          <w:rFonts w:ascii="Arial" w:hAnsi="Arial"/>
          <w:sz w:val="18"/>
          <w:szCs w:val="18"/>
          <w:lang w:eastAsia="en-GB" w:bidi="he-IL"/>
        </w:rPr>
        <w:lastRenderedPageBreak/>
        <w:t>up as is provided by this Act [and the Insolvency Act].This is subject, in the case of a public company, to section 117 (additional certificate as to amount of allotted share capital).</w:t>
      </w:r>
    </w:p>
    <w:p w:rsidR="00EA2919" w:rsidRPr="003B2BE4" w:rsidRDefault="00EA2919" w:rsidP="004C0A3C">
      <w:pPr>
        <w:spacing w:after="120"/>
        <w:ind w:left="567" w:hanging="567"/>
        <w:jc w:val="both"/>
        <w:rPr>
          <w:rFonts w:ascii="Arial" w:hAnsi="Arial"/>
          <w:sz w:val="18"/>
          <w:szCs w:val="18"/>
          <w:lang w:eastAsia="en-GB" w:bidi="he-IL"/>
        </w:rPr>
      </w:pPr>
      <w:bookmarkStart w:id="84" w:name="CA1985s13_5"/>
      <w:bookmarkEnd w:id="84"/>
      <w:r w:rsidRPr="003B2BE4">
        <w:rPr>
          <w:rFonts w:ascii="Arial" w:hAnsi="Arial"/>
          <w:sz w:val="18"/>
          <w:szCs w:val="18"/>
          <w:lang w:eastAsia="en-GB" w:bidi="he-IL"/>
        </w:rPr>
        <w:t>(5)</w:t>
      </w:r>
      <w:r w:rsidRPr="003B2BE4">
        <w:rPr>
          <w:rFonts w:ascii="Arial" w:hAnsi="Arial"/>
          <w:sz w:val="18"/>
          <w:szCs w:val="18"/>
          <w:lang w:eastAsia="en-GB" w:bidi="he-IL"/>
        </w:rPr>
        <w:tab/>
        <w:t>The persons named in the statement under section 10 as directors, secretary or joint secretaries are, on the company's incorporation, deemed to have been respectively appointed as its first directors, secretary or joint secretaries.</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(6) </w:t>
      </w:r>
      <w:r w:rsidRPr="003B2BE4">
        <w:rPr>
          <w:rFonts w:ascii="Arial" w:hAnsi="Arial"/>
          <w:sz w:val="18"/>
          <w:szCs w:val="18"/>
          <w:lang w:eastAsia="en-GB" w:bidi="he-IL"/>
        </w:rPr>
        <w:tab/>
        <w:t>Where the registrar registers an association's memorandum which states that the association is to be a public company, the certificate of incorporation shall contain a statement that the company is a public company.</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A certificate of incorporation given in respect of an association is conclusive evidence— </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that the requirements of this Act in respect of registration and of matters precedent and incidental to it have been complied with, and that the association is a company authorised to be registered, and is duly registered, under this Act, and</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certificate contains a statement that the company is a public company, that the company is such a company.</w:t>
      </w:r>
    </w:p>
    <w:p w:rsidR="00924624" w:rsidRPr="003B2BE4" w:rsidRDefault="0092462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15</w:t>
      </w:r>
      <w:r w:rsidRPr="003B2BE4">
        <w:rPr>
          <w:rFonts w:ascii="Arial" w:hAnsi="Arial"/>
          <w:b/>
          <w:bCs/>
          <w:sz w:val="18"/>
          <w:szCs w:val="18"/>
          <w:lang w:eastAsia="en-GB" w:bidi="he-IL"/>
        </w:rPr>
        <w:tab/>
        <w:t>Memorandum and articles of company limited by guarantee</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In the case of a company limited by guarantee and not having a share capital, every provision in the memorandum or articles, or in any resolution of the company purporting to give any person a right to participate in the divisible profits of the company otherwise than as a member, is void.</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For purposes of provisions of this Act relating to the memorandum of a company limited by guarantee, and for those of section 1(4) and this section, every provision in the memorandum or articles, or in any resolution, of a company so limited purporting to divide the company's undertaking into shares or interests is to be treated as a provision for a share capital, notwithstanding that the nominal amount or number of the shares or interests is not specified by the provision.</w:t>
      </w:r>
    </w:p>
    <w:p w:rsidR="0054722F" w:rsidRPr="003B2BE4" w:rsidRDefault="0054722F"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17</w:t>
      </w:r>
      <w:r w:rsidRPr="003B2BE4">
        <w:rPr>
          <w:rFonts w:ascii="Arial" w:hAnsi="Arial"/>
          <w:b/>
          <w:bCs/>
          <w:sz w:val="18"/>
          <w:szCs w:val="18"/>
          <w:lang w:eastAsia="en-GB" w:bidi="he-IL"/>
        </w:rPr>
        <w:tab/>
        <w:t>Conditions in memorandum which could have been in articles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condition contained in a company's memorandum which could lawfully have been contained in articles of association instead of in the memorandum may be altered by the company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but if an application is made to the court for the alteration to be cancelled, the alteration does not have effect except in so far as it is confirmed by the court.</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This section— </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subject to section 16, and also to Part XVII (court order protecting minority), and</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does</w:t>
      </w:r>
      <w:proofErr w:type="gramEnd"/>
      <w:r w:rsidRPr="003B2BE4">
        <w:rPr>
          <w:rFonts w:ascii="Arial" w:hAnsi="Arial"/>
          <w:sz w:val="18"/>
          <w:szCs w:val="18"/>
          <w:lang w:eastAsia="en-GB" w:bidi="he-IL"/>
        </w:rPr>
        <w:t xml:space="preserve"> not apply where the memorandum itself provides for or prohibits the alteration of all or any of the conditions above referred to, and does not authorise any variation or abrogation of the special rights of any class of members.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Section 5 (except subsections (2)(b) and (8)) and section 6(1) to (3) apply in relation to any alteration and to any application made under this section as they apply in relation to alterations and applications under sections 4 to 6.</w:t>
      </w:r>
    </w:p>
    <w:p w:rsidR="00C06DC9" w:rsidRPr="003B2BE4" w:rsidRDefault="00C06DC9" w:rsidP="00C06DC9">
      <w:pPr>
        <w:spacing w:after="120"/>
        <w:ind w:left="567" w:hanging="567"/>
        <w:rPr>
          <w:rFonts w:ascii="Arial" w:hAnsi="Arial"/>
          <w:b/>
          <w:sz w:val="18"/>
          <w:szCs w:val="18"/>
          <w:lang w:eastAsia="en-GB" w:bidi="he-IL"/>
        </w:rPr>
      </w:pPr>
      <w:bookmarkStart w:id="85" w:name="CA1985s30"/>
      <w:bookmarkEnd w:id="85"/>
      <w:r w:rsidRPr="003B2BE4">
        <w:rPr>
          <w:rFonts w:ascii="Arial" w:hAnsi="Arial"/>
          <w:b/>
          <w:sz w:val="18"/>
          <w:szCs w:val="18"/>
          <w:lang w:eastAsia="en-GB" w:bidi="he-IL"/>
        </w:rPr>
        <w:t>30</w:t>
      </w:r>
      <w:r w:rsidRPr="003B2BE4">
        <w:rPr>
          <w:rFonts w:ascii="Arial" w:hAnsi="Arial"/>
          <w:b/>
          <w:sz w:val="18"/>
          <w:szCs w:val="18"/>
          <w:lang w:eastAsia="en-GB" w:bidi="he-IL"/>
        </w:rPr>
        <w:tab/>
        <w:t>Exemption from requirement of “limited” as part of the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Certain companies are exempt from requirements of this Act relating to the use of “limited” as part of the company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 private company limited by guarantee is exempt from those requirements, and so too is a company which on 25th February 1982 was a private company limited by shares with a name which, by virtue of a licence under section 19 of the Companies Act 1948, did not include “limited”; but in either case the company must, to have the exemption, comply with the requirements of the following subsection.</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Those requirements are that—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objects of the company are (or, in the case of a company about to be registered, are to be) the promotion of commerce, art, science, education, religion, charity or any profession, and anything incidental or conducive to any of those objects;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memorandum or articles— </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i</w:t>
      </w:r>
      <w:proofErr w:type="gramEnd"/>
      <w:r w:rsidRPr="003B2BE4">
        <w:rPr>
          <w:rFonts w:ascii="Arial" w:hAnsi="Arial"/>
          <w:sz w:val="18"/>
          <w:szCs w:val="18"/>
          <w:lang w:eastAsia="en-GB" w:bidi="he-IL"/>
        </w:rPr>
        <w:t>)</w:t>
      </w:r>
      <w:r w:rsidRPr="003B2BE4">
        <w:rPr>
          <w:rFonts w:ascii="Arial" w:hAnsi="Arial"/>
          <w:sz w:val="18"/>
          <w:szCs w:val="18"/>
          <w:lang w:eastAsia="en-GB" w:bidi="he-IL"/>
        </w:rPr>
        <w:tab/>
        <w:t>require its profits (if any) or other income to be applied in promoting its objects,</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prohibit</w:t>
      </w:r>
      <w:proofErr w:type="gramEnd"/>
      <w:r w:rsidRPr="003B2BE4">
        <w:rPr>
          <w:rFonts w:ascii="Arial" w:hAnsi="Arial"/>
          <w:sz w:val="18"/>
          <w:szCs w:val="18"/>
          <w:lang w:eastAsia="en-GB" w:bidi="he-IL"/>
        </w:rPr>
        <w:t xml:space="preserve"> the payment of dividends to its members, and</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require all the assets which would otherwise be available to its members generally to be transferred on its winding up either to another body with objects similar to its own or to another body the objects of which are the promotion of charity and anything incidental or conducive thereto (whether or not the body is a member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lastRenderedPageBreak/>
        <w:t>(4)</w:t>
      </w:r>
      <w:r w:rsidRPr="003B2BE4">
        <w:rPr>
          <w:rFonts w:ascii="Arial" w:hAnsi="Arial"/>
          <w:sz w:val="18"/>
          <w:szCs w:val="18"/>
          <w:lang w:eastAsia="en-GB" w:bidi="he-IL"/>
        </w:rPr>
        <w:tab/>
        <w:t>[Subject to subsection (5A), a statutory declaration] that a company complies with the requirements of subsection (3) may be delivered to the registrar of companies, who may accept the declaration as sufficient evidence of the matters stated in it.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The statutory declaration must be in the prescribed form and be made—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formed, by a solicitor engaged in its formation or by a person named as director or secretary in the statement delivered under section 10(2);</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registered in pursuance of section 680, by two or more directors or other principal officers of the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proposing to change its name so that it ceases to have the word “limited” as part of its name, by a director or secretary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[(5A)</w:t>
      </w:r>
      <w:r w:rsidRPr="003B2BE4">
        <w:rPr>
          <w:rFonts w:ascii="Arial" w:hAnsi="Arial"/>
          <w:sz w:val="18"/>
          <w:szCs w:val="18"/>
          <w:lang w:eastAsia="en-GB" w:bidi="he-IL"/>
        </w:rPr>
        <w:tab/>
        <w:t>In place of the statutory declaration referred to in subsection (4), there may be delivered to the registrar of companies using electronic communications a statement made by a person falling within the applicable paragraph of subsection (5) stating that the company complies with the requirements of subsection (3); and the registrar may accept such a statement as sufficient evidence of the matters stated in it.</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registrar may refuse to register a company by a name which does not include the word “limited” unless a statutory declaration under subsection (4) or statement under subsection (5A) has been delivered to him.</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(5C)</w:t>
      </w:r>
      <w:r w:rsidRPr="003B2BE4">
        <w:rPr>
          <w:rFonts w:ascii="Arial" w:hAnsi="Arial"/>
          <w:sz w:val="18"/>
          <w:szCs w:val="18"/>
          <w:lang w:eastAsia="en-GB" w:bidi="he-IL"/>
        </w:rPr>
        <w:tab/>
      </w:r>
      <w:proofErr w:type="gramStart"/>
      <w:r w:rsidRPr="003B2BE4">
        <w:rPr>
          <w:rFonts w:ascii="Arial" w:hAnsi="Arial"/>
          <w:sz w:val="18"/>
          <w:szCs w:val="18"/>
          <w:lang w:eastAsia="en-GB" w:bidi="he-IL"/>
        </w:rPr>
        <w:t>Any</w:t>
      </w:r>
      <w:proofErr w:type="gramEnd"/>
      <w:r w:rsidRPr="003B2BE4">
        <w:rPr>
          <w:rFonts w:ascii="Arial" w:hAnsi="Arial"/>
          <w:sz w:val="18"/>
          <w:szCs w:val="18"/>
          <w:lang w:eastAsia="en-GB" w:bidi="he-IL"/>
        </w:rPr>
        <w:t xml:space="preserve"> person who makes a false statement under subsection (5A) which he knows to be false or does not believe to be true is liable to imprisonment or a fine, or both.]</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References in this section to the word “limited” include (in an appropriate case) its Welsh equivalent (“</w:t>
      </w:r>
      <w:r w:rsidRPr="003B2BE4">
        <w:rPr>
          <w:rFonts w:ascii="Arial" w:hAnsi="Arial"/>
          <w:sz w:val="18"/>
          <w:szCs w:val="18"/>
          <w:lang w:val="cy-GB" w:eastAsia="en-GB" w:bidi="he-IL"/>
        </w:rPr>
        <w:t>cyfyngedig</w:t>
      </w:r>
      <w:r w:rsidRPr="003B2BE4">
        <w:rPr>
          <w:rFonts w:ascii="Arial" w:hAnsi="Arial"/>
          <w:sz w:val="18"/>
          <w:szCs w:val="18"/>
          <w:lang w:eastAsia="en-GB" w:bidi="he-IL"/>
        </w:rPr>
        <w:t>”), and the appropriate alternative (“ltd.” or “</w:t>
      </w:r>
      <w:r w:rsidRPr="003B2BE4">
        <w:rPr>
          <w:rFonts w:ascii="Arial" w:hAnsi="Arial"/>
          <w:sz w:val="18"/>
          <w:szCs w:val="18"/>
          <w:lang w:val="cy-GB" w:eastAsia="en-GB" w:bidi="he-IL"/>
        </w:rPr>
        <w:t>cyf</w:t>
      </w:r>
      <w:r w:rsidRPr="003B2BE4">
        <w:rPr>
          <w:rFonts w:ascii="Arial" w:hAnsi="Arial"/>
          <w:sz w:val="18"/>
          <w:szCs w:val="18"/>
          <w:lang w:eastAsia="en-GB" w:bidi="he-IL"/>
        </w:rPr>
        <w:t>.”, as the case may be).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company which [under this section] is exempt from requirements relating to the use of “limited” and does not include that word as part of its name, is also exempt from the requirements of this Act relating to the publication of its name and the sending of lists of members to the registrar of companies.</w:t>
      </w:r>
    </w:p>
    <w:p w:rsidR="00962A57" w:rsidRPr="003B2BE4" w:rsidRDefault="00962A57" w:rsidP="004C0A3C">
      <w:pPr>
        <w:spacing w:after="120"/>
        <w:ind w:left="567" w:hanging="567"/>
        <w:jc w:val="both"/>
        <w:rPr>
          <w:rFonts w:ascii="Arial" w:hAnsi="Arial"/>
          <w:b/>
          <w:bCs/>
          <w:sz w:val="18"/>
          <w:szCs w:val="18"/>
          <w:lang w:eastAsia="en-GB" w:bidi="he-IL"/>
        </w:rPr>
      </w:pPr>
      <w:bookmarkStart w:id="86" w:name="CA1985s249a"/>
      <w:bookmarkEnd w:id="86"/>
      <w:r w:rsidRPr="003B2BE4">
        <w:rPr>
          <w:rFonts w:ascii="Arial" w:hAnsi="Arial"/>
          <w:b/>
          <w:bCs/>
          <w:sz w:val="18"/>
          <w:szCs w:val="18"/>
          <w:lang w:eastAsia="en-GB" w:bidi="he-IL"/>
        </w:rPr>
        <w:t>[</w:t>
      </w:r>
      <w:bookmarkStart w:id="87" w:name="ORIGHIT_2"/>
      <w:bookmarkStart w:id="88" w:name="HIT_2"/>
      <w:bookmarkEnd w:id="87"/>
      <w:bookmarkEnd w:id="88"/>
      <w:r w:rsidRPr="003B2BE4">
        <w:rPr>
          <w:rFonts w:ascii="Arial" w:hAnsi="Arial"/>
          <w:b/>
          <w:bCs/>
          <w:sz w:val="18"/>
          <w:szCs w:val="18"/>
          <w:lang w:eastAsia="en-GB" w:bidi="he-IL"/>
        </w:rPr>
        <w:t>249A</w:t>
      </w:r>
      <w:r w:rsidR="00E642B9" w:rsidRPr="003B2BE4">
        <w:rPr>
          <w:rFonts w:ascii="Arial" w:hAnsi="Arial"/>
          <w:b/>
          <w:bCs/>
          <w:sz w:val="18"/>
          <w:szCs w:val="18"/>
          <w:lang w:eastAsia="en-GB" w:bidi="he-IL"/>
        </w:rPr>
        <w:tab/>
      </w:r>
      <w:r w:rsidRPr="003B2BE4">
        <w:rPr>
          <w:rFonts w:ascii="Arial" w:hAnsi="Arial"/>
          <w:b/>
          <w:bCs/>
          <w:sz w:val="18"/>
          <w:szCs w:val="18"/>
          <w:lang w:eastAsia="en-GB" w:bidi="he-IL"/>
        </w:rPr>
        <w:t>Exemptions from audit]</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Pr="003B2BE4">
          <w:rPr>
            <w:rStyle w:val="Hyperlink"/>
            <w:sz w:val="18"/>
            <w:szCs w:val="18"/>
            <w:lang w:eastAsia="en-GB" w:bidi="he-IL"/>
          </w:rPr>
          <w:t>249B</w:t>
        </w:r>
      </w:hyperlink>
      <w:r w:rsidRPr="003B2BE4">
        <w:rPr>
          <w:rFonts w:ascii="Arial" w:hAnsi="Arial"/>
          <w:sz w:val="18"/>
          <w:szCs w:val="18"/>
          <w:lang w:eastAsia="en-GB" w:bidi="he-IL"/>
        </w:rPr>
        <w:t>, a company which meets the total exemption conditions set out below in respect of a financial year is exempt from the provisions of this Part relating to the audit of accounts in respect of that year.</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00D115AE" w:rsidRPr="003B2BE4">
          <w:rPr>
            <w:rStyle w:val="Hyperlink"/>
            <w:sz w:val="18"/>
            <w:szCs w:val="18"/>
            <w:lang w:eastAsia="en-GB" w:bidi="he-IL"/>
          </w:rPr>
          <w:t>249B</w:t>
        </w:r>
      </w:hyperlink>
      <w:r w:rsidRPr="003B2BE4">
        <w:rPr>
          <w:rFonts w:ascii="Arial" w:hAnsi="Arial"/>
          <w:sz w:val="18"/>
          <w:szCs w:val="18"/>
          <w:lang w:eastAsia="en-GB" w:bidi="he-IL"/>
        </w:rPr>
        <w:t>, [a company which is a charity and] which meets the report conditions set out below in respect of a financial year is exempt from the provisions of this Part relating to the audit of accounts in respect of that year if the directors cause a report in respect of the company's individual accounts for that year to be prepared in accordance with section 249C and made to the company's members.</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total exemption conditions are met by a company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turnover in that year is not more than [£5.6 million],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[£2.8 million].</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[(3A)</w:t>
      </w:r>
      <w:r w:rsidR="00E642B9" w:rsidRPr="003B2BE4">
        <w:rPr>
          <w:rFonts w:ascii="Arial" w:hAnsi="Arial"/>
          <w:sz w:val="18"/>
          <w:szCs w:val="18"/>
          <w:lang w:eastAsia="en-GB" w:bidi="he-IL"/>
        </w:rPr>
        <w:tab/>
      </w:r>
      <w:r w:rsidRPr="003B2BE4">
        <w:rPr>
          <w:rFonts w:ascii="Arial" w:hAnsi="Arial"/>
          <w:sz w:val="18"/>
          <w:szCs w:val="18"/>
          <w:lang w:eastAsia="en-GB" w:bidi="he-IL"/>
        </w:rPr>
        <w:t>In relation to any company which is a charity, subsection (3</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b) shall have effect with the substitution—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turnover of a reference to gross income,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[£5.6 million] of a reference to £90,000.]</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report conditions are met by [a company which is a charity]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[gross income] in that year is more than £90,000 but not more than [£250,000],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£1.4 million.</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00E642B9" w:rsidRPr="003B2BE4">
        <w:rPr>
          <w:rFonts w:ascii="Arial" w:hAnsi="Arial"/>
          <w:sz w:val="18"/>
          <w:szCs w:val="18"/>
          <w:lang w:eastAsia="en-GB" w:bidi="he-IL"/>
        </w:rPr>
        <w:tab/>
      </w:r>
      <w:r w:rsidRPr="003B2BE4">
        <w:rPr>
          <w:rFonts w:ascii="Arial" w:hAnsi="Arial"/>
          <w:sz w:val="18"/>
          <w:szCs w:val="18"/>
          <w:lang w:eastAsia="en-GB" w:bidi="he-IL"/>
        </w:rPr>
        <w:t>For a period which is a company's financial year but not in fact a year the maximum figures for turnover or gross income shall be proportionately adjusted.</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entitled to the exemption conferred by subsection (1) or (2) notwithstanding that it falls within paragraph (a) or (b) of [section </w:t>
      </w:r>
      <w:hyperlink w:anchor="CA1985s249aa" w:history="1">
        <w:r w:rsidRPr="003B2BE4">
          <w:rPr>
            <w:rStyle w:val="Hyperlink"/>
            <w:sz w:val="18"/>
            <w:szCs w:val="18"/>
            <w:lang w:eastAsia="en-GB" w:bidi="he-IL"/>
          </w:rPr>
          <w:t>249AA</w:t>
        </w:r>
      </w:hyperlink>
      <w:r w:rsidRPr="003B2BE4">
        <w:rPr>
          <w:rFonts w:ascii="Arial" w:hAnsi="Arial"/>
          <w:sz w:val="18"/>
          <w:szCs w:val="18"/>
          <w:lang w:eastAsia="en-GB" w:bidi="he-IL"/>
        </w:rPr>
        <w:t>(1)].]</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this section—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balance</w:t>
      </w:r>
      <w:proofErr w:type="gramEnd"/>
      <w:r w:rsidRPr="003B2BE4">
        <w:rPr>
          <w:rFonts w:ascii="Arial" w:hAnsi="Arial"/>
          <w:sz w:val="18"/>
          <w:szCs w:val="18"/>
          <w:lang w:eastAsia="en-GB" w:bidi="he-IL"/>
        </w:rPr>
        <w:t xml:space="preserve"> sheet total” has the meaning given by section 247(5),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lastRenderedPageBreak/>
        <w:t>“</w:t>
      </w:r>
      <w:proofErr w:type="gramStart"/>
      <w:r w:rsidRPr="003B2BE4">
        <w:rPr>
          <w:rFonts w:ascii="Arial" w:hAnsi="Arial"/>
          <w:sz w:val="18"/>
          <w:szCs w:val="18"/>
          <w:lang w:eastAsia="en-GB" w:bidi="he-IL"/>
        </w:rPr>
        <w:t>gross</w:t>
      </w:r>
      <w:proofErr w:type="gramEnd"/>
      <w:r w:rsidRPr="003B2BE4">
        <w:rPr>
          <w:rFonts w:ascii="Arial" w:hAnsi="Arial"/>
          <w:sz w:val="18"/>
          <w:szCs w:val="18"/>
          <w:lang w:eastAsia="en-GB" w:bidi="he-IL"/>
        </w:rPr>
        <w:t xml:space="preserve"> income” means the company's income from all sources, as shown in the company's income and expenditure account.]</w:t>
      </w:r>
    </w:p>
    <w:p w:rsidR="000656FA" w:rsidRPr="003B2BE4" w:rsidRDefault="000656FA" w:rsidP="000656FA">
      <w:pPr>
        <w:spacing w:after="120"/>
        <w:ind w:left="567" w:hanging="567"/>
        <w:rPr>
          <w:rFonts w:ascii="Arial" w:hAnsi="Arial"/>
          <w:b/>
          <w:bCs/>
          <w:sz w:val="18"/>
          <w:szCs w:val="18"/>
          <w:lang w:eastAsia="en-GB" w:bidi="he-IL"/>
        </w:rPr>
      </w:pPr>
      <w:bookmarkStart w:id="89" w:name="CA1985s249aa"/>
      <w:bookmarkEnd w:id="89"/>
      <w:r w:rsidRPr="003B2BE4">
        <w:rPr>
          <w:rFonts w:ascii="Arial" w:hAnsi="Arial"/>
          <w:b/>
          <w:bCs/>
          <w:sz w:val="18"/>
          <w:szCs w:val="18"/>
          <w:lang w:eastAsia="en-GB" w:bidi="he-IL"/>
        </w:rPr>
        <w:t>[249AA</w:t>
      </w:r>
      <w:r w:rsidRPr="003B2BE4">
        <w:rPr>
          <w:rFonts w:ascii="Arial" w:hAnsi="Arial"/>
          <w:b/>
          <w:bCs/>
          <w:sz w:val="18"/>
          <w:szCs w:val="18"/>
          <w:lang w:eastAsia="en-GB" w:bidi="he-IL"/>
        </w:rPr>
        <w:tab/>
      </w:r>
      <w:proofErr w:type="gramStart"/>
      <w:r w:rsidRPr="003B2BE4">
        <w:rPr>
          <w:rFonts w:ascii="Arial" w:hAnsi="Arial"/>
          <w:b/>
          <w:bCs/>
          <w:sz w:val="18"/>
          <w:szCs w:val="18"/>
          <w:lang w:eastAsia="en-GB" w:bidi="he-IL"/>
        </w:rPr>
        <w:t>Dormant</w:t>
      </w:r>
      <w:proofErr w:type="gramEnd"/>
      <w:r w:rsidRPr="003B2BE4">
        <w:rPr>
          <w:rFonts w:ascii="Arial" w:hAnsi="Arial"/>
          <w:b/>
          <w:bCs/>
          <w:sz w:val="18"/>
          <w:szCs w:val="18"/>
          <w:lang w:eastAsia="en-GB" w:bidi="he-IL"/>
        </w:rPr>
        <w:t xml:space="preserve"> companies]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section </w:t>
      </w:r>
      <w:hyperlink w:anchor="CA1985s249b" w:history="1">
        <w:proofErr w:type="gramStart"/>
        <w:r w:rsidRPr="003B2BE4">
          <w:rPr>
            <w:rStyle w:val="Hyperlink"/>
            <w:sz w:val="18"/>
            <w:szCs w:val="18"/>
            <w:lang w:eastAsia="en-GB" w:bidi="he-IL"/>
          </w:rPr>
          <w:t>249B</w:t>
        </w:r>
        <w:proofErr w:type="gramEnd"/>
      </w:hyperlink>
      <w:r w:rsidRPr="003B2BE4">
        <w:rPr>
          <w:rFonts w:ascii="Arial" w:hAnsi="Arial"/>
          <w:sz w:val="18"/>
          <w:szCs w:val="18"/>
          <w:lang w:eastAsia="en-GB" w:bidi="he-IL"/>
        </w:rPr>
        <w:t xml:space="preserve">(2) to (5), a company is exempt from the provisions of this Part relating to the audit of accounts in respect of a financial year if—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its formation,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the end of the previous financial year and subsection (2)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This subsection applies if the company—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entitled in respect of its individual accounts for the financial year in question to prepare accounts in accordance with section 246, or would be so entitled but for the application of section 247A(1)(a)(i) or (b), and</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required to prepare group accounts for that year.</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Subsection (1) does not apply if at any time in the financial year in question the company was—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a person who has permission under Part 4 of the </w:t>
      </w:r>
      <w:hyperlink r:id="rId17"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person who carries on insurance market activity].</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company is “dormant” during any period in which it has no significant accounting transaction.</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“Significant accounting transaction” means a transaction which—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by section 221 to be entered in the company's accounting records; but</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a transaction to which subsection (6) or (7)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This subsection applies to a transaction arising from the taking of shares in the company by a subscriber to the memorandum as a result of an undertaking of his in the memorandum.</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This subsection applies to a transaction consisting of the payment of—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a change of name under section 28 (change of name),</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the re-registration of a company under Part II (re-registration as a means of altering a company's status),</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penalty under section 242A (penalty for failure to deliver accounts),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for the registration of an annual return under Chapter III of Part XI.]</w:t>
      </w:r>
    </w:p>
    <w:p w:rsidR="004908FF" w:rsidRPr="003B2BE4" w:rsidRDefault="004908FF" w:rsidP="000656FA">
      <w:pPr>
        <w:spacing w:after="120"/>
        <w:ind w:left="567" w:hanging="567"/>
        <w:jc w:val="both"/>
        <w:rPr>
          <w:rFonts w:ascii="Arial" w:hAnsi="Arial"/>
          <w:b/>
          <w:bCs/>
          <w:sz w:val="18"/>
          <w:szCs w:val="18"/>
          <w:lang w:eastAsia="en-GB" w:bidi="he-IL"/>
        </w:rPr>
      </w:pPr>
      <w:bookmarkStart w:id="90" w:name="CA1985s249b"/>
      <w:bookmarkEnd w:id="90"/>
      <w:r w:rsidRPr="003B2BE4">
        <w:rPr>
          <w:rFonts w:ascii="Arial" w:hAnsi="Arial"/>
          <w:b/>
          <w:bCs/>
          <w:sz w:val="18"/>
          <w:szCs w:val="18"/>
          <w:lang w:eastAsia="en-GB" w:bidi="he-IL"/>
        </w:rPr>
        <w:t>[249B</w:t>
      </w:r>
      <w:r w:rsidR="00E642B9" w:rsidRPr="003B2BE4">
        <w:rPr>
          <w:rFonts w:ascii="Arial" w:hAnsi="Arial"/>
          <w:b/>
          <w:bCs/>
          <w:sz w:val="18"/>
          <w:szCs w:val="18"/>
          <w:lang w:eastAsia="en-GB" w:bidi="he-IL"/>
        </w:rPr>
        <w:tab/>
      </w:r>
      <w:r w:rsidRPr="003B2BE4">
        <w:rPr>
          <w:rFonts w:ascii="Arial" w:hAnsi="Arial"/>
          <w:b/>
          <w:bCs/>
          <w:sz w:val="18"/>
          <w:szCs w:val="18"/>
          <w:lang w:eastAsia="en-GB" w:bidi="he-IL"/>
        </w:rPr>
        <w:t>Cases where exemptions not available]</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[subsection (1A) to (1C)],] a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in respect of a financial year if at any time within that year—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public company,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person who had permission under Part 4 of the </w:t>
      </w:r>
      <w:hyperlink r:id="rId18"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bb</w:t>
      </w:r>
      <w:proofErr w:type="gramEnd"/>
      <w:r w:rsidRPr="003B2BE4">
        <w:rPr>
          <w:rFonts w:ascii="Arial" w:hAnsi="Arial"/>
          <w:sz w:val="18"/>
          <w:szCs w:val="18"/>
          <w:lang w:eastAsia="en-GB" w:bidi="he-IL"/>
        </w:rPr>
        <w:t>)</w:t>
      </w:r>
      <w:r w:rsidR="00E642B9" w:rsidRPr="003B2BE4">
        <w:rPr>
          <w:rFonts w:ascii="Arial" w:hAnsi="Arial"/>
          <w:sz w:val="18"/>
          <w:szCs w:val="18"/>
          <w:lang w:eastAsia="en-GB" w:bidi="he-IL"/>
        </w:rPr>
        <w:tab/>
      </w:r>
      <w:r w:rsidRPr="003B2BE4">
        <w:rPr>
          <w:rFonts w:ascii="Arial" w:hAnsi="Arial"/>
          <w:sz w:val="18"/>
          <w:szCs w:val="18"/>
          <w:lang w:eastAsia="en-GB" w:bidi="he-IL"/>
        </w:rPr>
        <w:t>it carried on an insurance market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an appointed representative, within the meaning of </w:t>
      </w:r>
      <w:hyperlink r:id="rId19" w:tgtFrame="_parent" w:history="1">
        <w:r w:rsidRPr="003B2BE4">
          <w:rPr>
            <w:rFonts w:ascii="Arial" w:hAnsi="Arial"/>
            <w:sz w:val="18"/>
            <w:szCs w:val="18"/>
            <w:lang w:eastAsia="en-GB" w:bidi="he-IL"/>
          </w:rPr>
          <w:t>section 39</w:t>
        </w:r>
      </w:hyperlink>
      <w:r w:rsidRPr="003B2BE4">
        <w:rPr>
          <w:rFonts w:ascii="Arial" w:hAnsi="Arial"/>
          <w:sz w:val="18"/>
          <w:szCs w:val="18"/>
          <w:lang w:eastAsia="en-GB" w:bidi="he-IL"/>
        </w:rPr>
        <w:t xml:space="preserve"> of the Financial Services and Markets Act 2000 [(other than an appointed representative whose scope of appointment is limited to activities that are not regulated activities for the purposes of this Part: see section 262)],]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(e)</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special register body as defined in </w:t>
      </w:r>
      <w:hyperlink r:id="rId20" w:tgtFrame="_parent" w:history="1">
        <w:r w:rsidRPr="003B2BE4">
          <w:rPr>
            <w:rFonts w:ascii="Arial" w:hAnsi="Arial"/>
            <w:sz w:val="18"/>
            <w:szCs w:val="18"/>
            <w:lang w:eastAsia="en-GB" w:bidi="he-IL"/>
          </w:rPr>
          <w:t>section 117(1)</w:t>
        </w:r>
      </w:hyperlink>
      <w:r w:rsidRPr="003B2BE4">
        <w:rPr>
          <w:rFonts w:ascii="Arial" w:hAnsi="Arial"/>
          <w:sz w:val="18"/>
          <w:szCs w:val="18"/>
          <w:lang w:eastAsia="en-GB" w:bidi="he-IL"/>
        </w:rPr>
        <w:t xml:space="preserve"> of the Trade Union and Labour Relations (Consolidation) Act 1992 or an employers' association as defined in section 122 of that Act, or</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(f)</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parent company or a subsidiary undertaking.</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which, apart from this subsection, would fall within subsection (1)(f) by virtue of its being a subsidiary undertaking for any period within a financial year shall not be treated as so falling if it is dormant (within the meaning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throughout that period.]</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[(1B)</w:t>
      </w:r>
      <w:r w:rsidR="00E642B9" w:rsidRPr="003B2BE4">
        <w:rPr>
          <w:rFonts w:ascii="Arial" w:hAnsi="Arial"/>
          <w:sz w:val="18"/>
          <w:szCs w:val="18"/>
          <w:lang w:eastAsia="en-GB" w:bidi="he-IL"/>
        </w:rPr>
        <w:tab/>
      </w:r>
      <w:r w:rsidRPr="003B2BE4">
        <w:rPr>
          <w:rFonts w:ascii="Arial" w:hAnsi="Arial"/>
          <w:sz w:val="18"/>
          <w:szCs w:val="18"/>
          <w:lang w:eastAsia="en-GB" w:bidi="he-IL"/>
        </w:rPr>
        <w:t>A company which, apart from this subsection, would fall within subsection (1)(f) by virtue of its being a parent company or a subsidiary undertaking for any period within a financial year, shall not be treated as so falling if throughout that period it was a member of a group meeting the conditions set out in subsection (1C).</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(1C)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conditions referred to in subsection (1B) are—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that the group qualifies as a small group, in relation to the financial year within which the period falls, for the purposes of section 249 [(or if all bodies corporate in such group were companies, would so qualify)] and is not, and was not at any time within that year, an ineligible group within the meaning of section 248(2),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turnover in that year (calculated in accordance with section 249) is[, where the company referred to in subsection (1B) is a charity,] not more than £350,000 net (or £420,000 gross) [or, where the company so referred to is not a charity, [not more than £5.6 million net (or £6.72 million gross)]], and</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the group's aggregate balance sheet total for that year (calculated in accordance with section 249) is [not more than £2.8 million net (or £3.36 million gross)].]</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Any member or members holding not less in the aggregate than 10 per cent in nominal value of the company's issued share capital or any class of it or, if the company does not have a share capital, not less than 10 per cent in number of the members of the company, may, by notice in writing deposited at the registered office of the company during a financial year but not later than one month before the end of that year, require the company to obtain an audit of its accounts for that year.</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Where a notice has been deposited under subsection (2), the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in respect of the financial year to which the notice relates.</w:t>
      </w:r>
    </w:p>
    <w:p w:rsidR="004908FF"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not entitled to the exemption conferred by subsection (1) or (2)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xml:space="preserve">] unless its balance sheet contains a statement by the directors— </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for the year in question the company was entitled to exemption under subsection (1) or (2) . . .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to the effect that members have not required the company to obtain an audit of its accounts for the year in question in accordance with subsection (2) of this section],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the directors acknowledge their responsibilities for— </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ensuring</w:t>
      </w:r>
      <w:proofErr w:type="gramEnd"/>
      <w:r w:rsidRPr="003B2BE4">
        <w:rPr>
          <w:rFonts w:ascii="Arial" w:hAnsi="Arial"/>
          <w:sz w:val="18"/>
          <w:szCs w:val="18"/>
          <w:lang w:eastAsia="en-GB" w:bidi="he-IL"/>
        </w:rPr>
        <w:t xml:space="preserve"> that the company keeps accounting records which comply with section 221,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(ii)</w:t>
      </w:r>
      <w:r w:rsidR="00E642B9" w:rsidRPr="003B2BE4">
        <w:rPr>
          <w:rFonts w:ascii="Arial" w:hAnsi="Arial"/>
          <w:sz w:val="18"/>
          <w:szCs w:val="18"/>
          <w:lang w:eastAsia="en-GB" w:bidi="he-IL"/>
        </w:rPr>
        <w:tab/>
      </w:r>
      <w:r w:rsidRPr="003B2BE4">
        <w:rPr>
          <w:rFonts w:ascii="Arial" w:hAnsi="Arial"/>
          <w:sz w:val="18"/>
          <w:szCs w:val="18"/>
          <w:lang w:eastAsia="en-GB" w:bidi="he-IL"/>
        </w:rPr>
        <w:t>preparing accounts which give a true and fair view of the state of affairs of the company as at the end of the financial year and of its profit or loss for the financial year in accordance with the requirements of section 226, and which otherwise comply with the requirements of this Act relating to accounts, so far as applicable to the company.</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The statement required by subsection (4) shall appear in the balance sheet [above the signature required by section 233].]</w:t>
      </w:r>
    </w:p>
    <w:p w:rsidR="00276261" w:rsidRPr="003B2BE4" w:rsidRDefault="00276261" w:rsidP="004C0A3C">
      <w:pPr>
        <w:spacing w:after="120"/>
        <w:ind w:left="567" w:hanging="567"/>
        <w:jc w:val="both"/>
        <w:rPr>
          <w:rFonts w:ascii="Arial" w:hAnsi="Arial"/>
          <w:b/>
          <w:bCs/>
          <w:sz w:val="18"/>
          <w:szCs w:val="18"/>
          <w:lang w:eastAsia="en-GB" w:bidi="he-IL"/>
        </w:rPr>
      </w:pPr>
      <w:bookmarkStart w:id="91" w:name="CA1985s303"/>
      <w:bookmarkEnd w:id="91"/>
      <w:r w:rsidRPr="003B2BE4">
        <w:rPr>
          <w:rFonts w:ascii="Arial" w:hAnsi="Arial"/>
          <w:b/>
          <w:bCs/>
          <w:sz w:val="18"/>
          <w:szCs w:val="18"/>
          <w:lang w:eastAsia="en-GB" w:bidi="he-IL"/>
        </w:rPr>
        <w:t>303</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to remove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A company may by ordinary resolution remove a director before the expiration of his period of office, notwithstanding anything in its articles or in any agreement between it and him.</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r>
      <w:hyperlink w:anchor="CA1985spec_not" w:history="1">
        <w:hyperlink w:anchor="CA1985spec_not" w:history="1">
          <w:r w:rsidR="008C6BF0" w:rsidRPr="003B2BE4">
            <w:rPr>
              <w:rStyle w:val="Hyperlink"/>
            </w:rPr>
            <w:t>Special notice</w:t>
          </w:r>
        </w:hyperlink>
      </w:hyperlink>
      <w:r w:rsidRPr="003B2BE4">
        <w:rPr>
          <w:rFonts w:ascii="Arial" w:hAnsi="Arial"/>
          <w:sz w:val="18"/>
          <w:szCs w:val="18"/>
          <w:lang w:eastAsia="en-GB" w:bidi="he-IL"/>
        </w:rPr>
        <w:t xml:space="preserve"> </w:t>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of a resolution to remove a director under this section or to appoint somebody instead of a director so removed at the meeting at which he is removed.</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A vacancy created by the removal of a director under this section, if not filled at the meeting at which he is removed, may be filled as a casual vacancy.</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person appointed director in place of a person removed under this section is treated, for the purpose of determining the time at which he or any other director is to retire, as if he had become director on the day on which the person in whose place he is appointed was last appointed a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This section is not to be taken as depriving a person removed under it of compensation or damages payable to him in respect of the termination of his appointment as director or of any appointment terminating with that as director, or as derogating from any power to remove a director which may exist apart from this section.</w:t>
      </w:r>
    </w:p>
    <w:p w:rsidR="0062340F" w:rsidRPr="003B2BE4" w:rsidRDefault="0062340F" w:rsidP="004C0A3C">
      <w:pPr>
        <w:spacing w:after="120"/>
        <w:ind w:left="567" w:hanging="567"/>
        <w:jc w:val="both"/>
        <w:rPr>
          <w:rFonts w:ascii="Arial" w:hAnsi="Arial"/>
          <w:b/>
          <w:bCs/>
          <w:sz w:val="18"/>
          <w:szCs w:val="18"/>
          <w:lang w:eastAsia="en-GB" w:bidi="he-IL"/>
        </w:rPr>
      </w:pPr>
      <w:bookmarkStart w:id="92" w:name="CA1985s310"/>
      <w:bookmarkEnd w:id="92"/>
      <w:r w:rsidRPr="003B2BE4">
        <w:rPr>
          <w:rFonts w:ascii="Arial" w:hAnsi="Arial"/>
          <w:b/>
          <w:bCs/>
          <w:sz w:val="18"/>
          <w:szCs w:val="18"/>
          <w:lang w:eastAsia="en-GB" w:bidi="he-IL"/>
        </w:rPr>
        <w:t>310</w:t>
      </w:r>
      <w:r w:rsidR="00334FBD" w:rsidRPr="003B2BE4">
        <w:rPr>
          <w:rFonts w:ascii="Arial" w:hAnsi="Arial"/>
          <w:b/>
          <w:bCs/>
          <w:sz w:val="18"/>
          <w:szCs w:val="18"/>
          <w:lang w:eastAsia="en-GB" w:bidi="he-IL"/>
        </w:rPr>
        <w:tab/>
      </w:r>
      <w:r w:rsidRPr="003B2BE4">
        <w:rPr>
          <w:rFonts w:ascii="Arial" w:hAnsi="Arial"/>
          <w:b/>
          <w:bCs/>
          <w:sz w:val="18"/>
          <w:szCs w:val="18"/>
          <w:lang w:eastAsia="en-GB" w:bidi="he-IL"/>
        </w:rPr>
        <w:t>Provisions [protecting] auditors from liability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This section applies to any provision, whether contained in a company's articles or in any contract with the company or otherwise, for exempting ... any person (whether an officer or not) employed by the company as auditor from, or indemnifying him against, any liability which by virtue of any rule of law would otherwise attach to him in respect of any negligence, default, breach of duty or breach of trust of which he may be guilty in relation to the company.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Except as provided by the following subsection, any such provision is void.</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[(3)</w:t>
      </w:r>
      <w:r w:rsidRPr="003B2BE4">
        <w:rPr>
          <w:rFonts w:ascii="Arial" w:hAnsi="Arial"/>
          <w:sz w:val="18"/>
          <w:szCs w:val="18"/>
          <w:lang w:eastAsia="en-GB" w:bidi="he-IL"/>
        </w:rPr>
        <w:tab/>
        <w:t xml:space="preserve">This section does not prevent a company— </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purchasing and maintaining for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insurance against any such liability, or</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indemnifying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against any liability incurred by him— </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defending any proceedings (whether civil or criminal) in which judgment is given in his favour or he is acquitted, or</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connection with any application under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section </w:t>
      </w:r>
      <w:hyperlink w:anchor="CA1985s727" w:history="1">
        <w:r w:rsidRPr="003B2BE4">
          <w:rPr>
            <w:rStyle w:val="Hyperlink"/>
            <w:sz w:val="18"/>
            <w:szCs w:val="18"/>
            <w:lang w:eastAsia="en-GB" w:bidi="he-IL"/>
          </w:rPr>
          <w:t>727</w:t>
        </w:r>
      </w:hyperlink>
      <w:r w:rsidRPr="003B2BE4">
        <w:rPr>
          <w:rFonts w:ascii="Arial" w:hAnsi="Arial"/>
          <w:sz w:val="18"/>
          <w:szCs w:val="18"/>
          <w:lang w:eastAsia="en-GB" w:bidi="he-IL"/>
        </w:rPr>
        <w:t xml:space="preserve"> (general power to grant relief in case of honest and reasonable conduct) in which relief is granted to him by the court.]</w:t>
      </w:r>
    </w:p>
    <w:p w:rsidR="005A5C15" w:rsidRPr="003B2BE4" w:rsidRDefault="005A5C15" w:rsidP="004C0A3C">
      <w:pPr>
        <w:spacing w:after="120"/>
        <w:ind w:left="567" w:hanging="567"/>
        <w:jc w:val="both"/>
        <w:rPr>
          <w:rFonts w:ascii="Arial" w:hAnsi="Arial"/>
          <w:b/>
          <w:bCs/>
          <w:sz w:val="18"/>
          <w:szCs w:val="18"/>
          <w:lang w:eastAsia="en-GB" w:bidi="he-IL"/>
        </w:rPr>
      </w:pPr>
      <w:bookmarkStart w:id="93" w:name="CA1985s317"/>
      <w:bookmarkEnd w:id="93"/>
      <w:r w:rsidRPr="003B2BE4">
        <w:rPr>
          <w:rFonts w:ascii="Arial" w:hAnsi="Arial"/>
          <w:b/>
          <w:bCs/>
          <w:sz w:val="18"/>
          <w:szCs w:val="18"/>
          <w:lang w:eastAsia="en-GB" w:bidi="he-IL"/>
        </w:rPr>
        <w:t>317</w:t>
      </w:r>
      <w:r w:rsidR="00334FBD" w:rsidRPr="003B2BE4">
        <w:rPr>
          <w:rFonts w:ascii="Arial" w:hAnsi="Arial"/>
          <w:b/>
          <w:bCs/>
          <w:sz w:val="18"/>
          <w:szCs w:val="18"/>
          <w:lang w:eastAsia="en-GB" w:bidi="he-IL"/>
        </w:rPr>
        <w:tab/>
      </w:r>
      <w:r w:rsidRPr="003B2BE4">
        <w:rPr>
          <w:rFonts w:ascii="Arial" w:hAnsi="Arial"/>
          <w:b/>
          <w:bCs/>
          <w:sz w:val="18"/>
          <w:szCs w:val="18"/>
          <w:lang w:eastAsia="en-GB" w:bidi="he-IL"/>
        </w:rPr>
        <w:t>Directors to disclose interest in contracts</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It is the duty of a director of a company who is in any way, whether directly or indirectly, interested in a contract or proposed contract with the company to declare the nature of his interest at a meeting of the directors of the company.</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In the case of a proposed contract, the declaration shall be made— </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at</w:t>
      </w:r>
      <w:proofErr w:type="gramEnd"/>
      <w:r w:rsidRPr="003B2BE4">
        <w:rPr>
          <w:rFonts w:ascii="Arial" w:hAnsi="Arial"/>
          <w:sz w:val="18"/>
          <w:szCs w:val="18"/>
          <w:lang w:eastAsia="en-GB" w:bidi="he-IL"/>
        </w:rPr>
        <w:t xml:space="preserve"> the meeting of the directors at which the question of entering into the contract is first taken into consideration; or</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director was not at the date of that meeting interested in the proposed contract, at the next meeting of the directors held after he became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in a case where the director becomes interested in a contract after it is made, the declaration shall be made at the first meeting of the directors held after he becomes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For purposes of this section, a general notice given to the directors of a company by a director to the effect that—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he is a member of a specified company or firm and is to be regarded as interested in any contract which may, after the date of the notice, be made with that company or firm;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he</w:t>
      </w:r>
      <w:proofErr w:type="gramEnd"/>
      <w:r w:rsidRPr="003B2BE4">
        <w:rPr>
          <w:rFonts w:ascii="Arial" w:hAnsi="Arial"/>
          <w:sz w:val="18"/>
          <w:szCs w:val="18"/>
          <w:lang w:eastAsia="en-GB" w:bidi="he-IL"/>
        </w:rPr>
        <w:t xml:space="preserve"> is to be regarded as interested in any contract which may after the date of the notice be made with a specified person who is connected with him (within the meaning of section 346 below),</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deemed a sufficient declaration of interest in relation to any such contract.</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However, no such notice is of effect unless either it is given at a meeting of the directors or the director takes reasonable steps to secure that it is brought up and read at the next meeting of the directors after it is given.</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reference in this section to a contract includes any transaction or arrangement (whether or not constituting a contract) made or entered into on or after 22nd December 1980.</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 xml:space="preserve">For purposes of this section, a transaction or arrangement of a kind described in section 330 (prohibition of loans, quasi-loans </w:t>
      </w:r>
      <w:proofErr w:type="spellStart"/>
      <w:r w:rsidRPr="003B2BE4">
        <w:rPr>
          <w:rFonts w:ascii="Arial" w:hAnsi="Arial"/>
          <w:sz w:val="18"/>
          <w:szCs w:val="18"/>
          <w:lang w:eastAsia="en-GB" w:bidi="he-IL"/>
        </w:rPr>
        <w:t>etc</w:t>
      </w:r>
      <w:proofErr w:type="spellEnd"/>
      <w:r w:rsidRPr="003B2BE4">
        <w:rPr>
          <w:rFonts w:ascii="Arial" w:hAnsi="Arial"/>
          <w:sz w:val="18"/>
          <w:szCs w:val="18"/>
          <w:lang w:eastAsia="en-GB" w:bidi="he-IL"/>
        </w:rPr>
        <w:t xml:space="preserve"> to directors) made by a company for a director of the company or a person connected with such a director is treated (if it would not otherwise be so treated, and whether or not it is prohibited by that section) as a transaction or arrangement in which that director is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director who fails to comply with this section is liable to a fine.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(8)</w:t>
      </w:r>
      <w:r w:rsidRPr="003B2BE4">
        <w:rPr>
          <w:rFonts w:ascii="Arial" w:hAnsi="Arial"/>
          <w:sz w:val="18"/>
          <w:szCs w:val="18"/>
          <w:lang w:eastAsia="en-GB" w:bidi="he-IL"/>
        </w:rPr>
        <w:tab/>
        <w:t xml:space="preserve">This section applies to a shadow director as it applies to a director, except that a shadow director shall declare his interest, not at a meeting of the directors, but by a notice in writing to the directors which is either—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specific notice given before the date of the meeting at which, if he had been a director, the declaration would be required by subsection (2) to be made;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notice which under subsection (3) falls to be treated as a sufficient declaration of that interest (or would fall to be so treated apart from subsection (4)).</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(9)</w:t>
      </w:r>
      <w:r w:rsidRPr="003B2BE4">
        <w:rPr>
          <w:rFonts w:ascii="Arial" w:hAnsi="Arial"/>
          <w:sz w:val="18"/>
          <w:szCs w:val="18"/>
          <w:lang w:eastAsia="en-GB" w:bidi="he-IL"/>
        </w:rPr>
        <w:tab/>
        <w:t>Nothing in this section prejudices the operation of any rule of law restricting directors of a company from having an interest in contracts with the company.</w:t>
      </w:r>
    </w:p>
    <w:p w:rsidR="00C06DC9" w:rsidRPr="003B2BE4" w:rsidRDefault="00C06DC9" w:rsidP="00C06DC9">
      <w:pPr>
        <w:spacing w:after="120"/>
        <w:ind w:left="567" w:hanging="567"/>
        <w:rPr>
          <w:rFonts w:ascii="Arial" w:hAnsi="Arial"/>
          <w:b/>
          <w:sz w:val="18"/>
          <w:szCs w:val="18"/>
          <w:lang w:eastAsia="en-GB" w:bidi="he-IL"/>
        </w:rPr>
      </w:pPr>
      <w:r w:rsidRPr="003B2BE4">
        <w:rPr>
          <w:rFonts w:ascii="Arial" w:hAnsi="Arial"/>
          <w:b/>
          <w:sz w:val="18"/>
          <w:szCs w:val="18"/>
          <w:lang w:eastAsia="en-GB" w:bidi="he-IL"/>
        </w:rPr>
        <w:t>351</w:t>
      </w:r>
      <w:r w:rsidRPr="003B2BE4">
        <w:rPr>
          <w:rFonts w:ascii="Arial" w:hAnsi="Arial"/>
          <w:b/>
          <w:sz w:val="18"/>
          <w:szCs w:val="18"/>
          <w:lang w:eastAsia="en-GB" w:bidi="he-IL"/>
        </w:rPr>
        <w:tab/>
        <w:t xml:space="preserve">Particulars in correspondence </w:t>
      </w:r>
      <w:proofErr w:type="spellStart"/>
      <w:r w:rsidRPr="003B2BE4">
        <w:rPr>
          <w:rFonts w:ascii="Arial" w:hAnsi="Arial"/>
          <w:b/>
          <w:sz w:val="18"/>
          <w:szCs w:val="18"/>
          <w:lang w:eastAsia="en-GB" w:bidi="he-IL"/>
        </w:rPr>
        <w:t>etc</w:t>
      </w:r>
      <w:proofErr w:type="spellEnd"/>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Every company shall have the following particulars mentioned in legible characters in all business letters and order forms of the company, that is to say—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place of registration and the number with which it is registered,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its registered office,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an investment company (as defined in section 266), the fact that it is such a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lastRenderedPageBreak/>
        <w:t>(d)</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limited company exempt from the obligation to use the word “limited” as part of its name [under section </w:t>
      </w:r>
      <w:hyperlink w:anchor="CA1985s30" w:history="1">
        <w:r w:rsidRPr="003B2BE4">
          <w:rPr>
            <w:rStyle w:val="Hyperlink"/>
            <w:sz w:val="18"/>
            <w:szCs w:val="18"/>
            <w:lang w:eastAsia="en-GB" w:bidi="he-IL"/>
          </w:rPr>
          <w:t>30</w:t>
        </w:r>
      </w:hyperlink>
      <w:r w:rsidRPr="003B2BE4">
        <w:rPr>
          <w:rFonts w:ascii="Arial" w:hAnsi="Arial"/>
          <w:sz w:val="18"/>
          <w:szCs w:val="18"/>
          <w:lang w:eastAsia="en-GB" w:bidi="he-IL"/>
        </w:rPr>
        <w:t xml:space="preserve"> or a community interest company which is not a public company], the fact that it is a limited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in the case of a company having a share capital there is on the stationery used for any such letters, or on the company's order forms, a reference to the amount of share capital, the reference must be to paid-up share capital.</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 (4)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As to contraventions of this section, the following applies—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 company fails to comply with subsection (1) or (2), it is liable to a fine,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an officer of a company or a person on its behalf issues or authorises the issue of any business letter or order form not complying with those subsections, he is liable to a fine,  . .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 .</w:t>
      </w:r>
    </w:p>
    <w:p w:rsidR="00EF65A2" w:rsidRPr="003B2BE4" w:rsidRDefault="00EF65A2" w:rsidP="004C0A3C">
      <w:pPr>
        <w:spacing w:after="120"/>
        <w:ind w:left="567" w:hanging="567"/>
        <w:jc w:val="both"/>
        <w:rPr>
          <w:rFonts w:ascii="Arial" w:hAnsi="Arial"/>
          <w:b/>
          <w:bCs/>
          <w:sz w:val="18"/>
          <w:szCs w:val="18"/>
          <w:lang w:eastAsia="en-GB" w:bidi="he-IL"/>
        </w:rPr>
      </w:pPr>
      <w:bookmarkStart w:id="94" w:name="CA1985s368"/>
      <w:bookmarkEnd w:id="94"/>
      <w:r w:rsidRPr="003B2BE4">
        <w:rPr>
          <w:rFonts w:ascii="Arial" w:hAnsi="Arial"/>
          <w:b/>
          <w:bCs/>
          <w:sz w:val="18"/>
          <w:szCs w:val="18"/>
          <w:lang w:eastAsia="en-GB" w:bidi="he-IL"/>
        </w:rPr>
        <w:t>368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general meeting on members' requisition</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The directors of a company shall, on a members' requisition, forthwith proceed duly to convene an extraordinary general meeting of the company.</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This applies notwithstanding anything in the company's articles.</w:t>
      </w:r>
    </w:p>
    <w:p w:rsidR="00EF65A2" w:rsidRPr="003B2BE4" w:rsidRDefault="00EF65A2" w:rsidP="004C0A3C">
      <w:pPr>
        <w:spacing w:after="120"/>
        <w:ind w:left="567" w:hanging="567"/>
        <w:jc w:val="both"/>
        <w:rPr>
          <w:rFonts w:ascii="Arial" w:hAnsi="Arial"/>
          <w:sz w:val="18"/>
          <w:szCs w:val="18"/>
          <w:lang w:eastAsia="en-GB" w:bidi="he-IL"/>
        </w:rPr>
      </w:pPr>
      <w:bookmarkStart w:id="95" w:name="CA1985s368_2"/>
      <w:bookmarkEnd w:id="95"/>
      <w:r w:rsidRPr="003B2BE4">
        <w:rPr>
          <w:rFonts w:ascii="Arial" w:hAnsi="Arial"/>
          <w:sz w:val="18"/>
          <w:szCs w:val="18"/>
          <w:lang w:eastAsia="en-GB" w:bidi="he-IL"/>
        </w:rPr>
        <w:t>(2)</w:t>
      </w:r>
      <w:r w:rsidRPr="003B2BE4">
        <w:rPr>
          <w:rFonts w:ascii="Arial" w:hAnsi="Arial"/>
          <w:sz w:val="18"/>
          <w:szCs w:val="18"/>
          <w:lang w:eastAsia="en-GB" w:bidi="he-IL"/>
        </w:rPr>
        <w:tab/>
        <w:t xml:space="preserve">A members' requisition is a requisition of— </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members of the company holding at the date of the deposit of the requisition not less than one-tenth of such of the paid-up capital of the company as at that date carries the right of voting at general meetings of the company; or</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members of it representing not less than one-tenth of the total voting rights of all the members having at the date of deposit of the requisition a right to vote at general meetings.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[(2A)</w:t>
      </w:r>
      <w:r w:rsidRPr="003B2BE4">
        <w:rPr>
          <w:rFonts w:ascii="Arial" w:hAnsi="Arial"/>
          <w:sz w:val="18"/>
          <w:szCs w:val="18"/>
          <w:lang w:eastAsia="en-GB" w:bidi="he-IL"/>
        </w:rPr>
        <w:tab/>
        <w:t>For the purposes of subsection (2</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a) any of the company's paid up capital held as treasury shares must be disregarded.]</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The requisition must state the objects of the meeting, and must be signed by the requisitionists and deposited at the registered office of the company, and may consist of several documents in like form each signed by one or more requisitionists.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If the directors do not within 21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3 months from that date.</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meeting convened under this section by requisitionists shall be convened in the same manner, as nearly as possible, as that in which meetings are to be convened by directors.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rsidR="00EF65A2" w:rsidRPr="003B2BE4" w:rsidRDefault="00EF65A2" w:rsidP="00E459A3">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In the case of a meeting at which a resolution is to be proposed as a </w:t>
      </w:r>
      <w:hyperlink w:anchor="CA1985spec_res" w:history="1">
        <w:r w:rsidR="00EE19AE" w:rsidRPr="003B2BE4">
          <w:rPr>
            <w:rStyle w:val="Hyperlink"/>
            <w:sz w:val="18"/>
            <w:szCs w:val="18"/>
            <w:lang w:eastAsia="en-GB" w:bidi="he-IL"/>
          </w:rPr>
          <w:t>special resolution</w:t>
        </w:r>
      </w:hyperlink>
      <w:r w:rsidRPr="003B2BE4">
        <w:rPr>
          <w:rFonts w:ascii="Arial" w:hAnsi="Arial"/>
          <w:sz w:val="18"/>
          <w:szCs w:val="18"/>
          <w:lang w:eastAsia="en-GB" w:bidi="he-IL"/>
        </w:rPr>
        <w:t xml:space="preserve">, the directors are deemed not to have duly convened the meeting if they do not give the notice required for </w:t>
      </w:r>
      <w:hyperlink w:anchor="CA1985spec_res" w:history="1">
        <w:r w:rsidR="00E459A3" w:rsidRPr="003B2BE4">
          <w:rPr>
            <w:rStyle w:val="Hyperlink"/>
            <w:sz w:val="18"/>
            <w:szCs w:val="18"/>
            <w:lang w:eastAsia="en-GB" w:bidi="he-IL"/>
          </w:rPr>
          <w:t>special resolutions</w:t>
        </w:r>
      </w:hyperlink>
      <w:r w:rsidRPr="003B2BE4">
        <w:rPr>
          <w:rFonts w:ascii="Arial" w:hAnsi="Arial"/>
          <w:sz w:val="18"/>
          <w:szCs w:val="18"/>
          <w:lang w:eastAsia="en-GB" w:bidi="he-IL"/>
        </w:rPr>
        <w:t xml:space="preserve"> by section </w:t>
      </w:r>
      <w:hyperlink w:anchor="CA1985s378_2" w:history="1">
        <w:r w:rsidRPr="003B2BE4">
          <w:rPr>
            <w:rStyle w:val="Hyperlink"/>
            <w:sz w:val="18"/>
            <w:szCs w:val="18"/>
            <w:lang w:eastAsia="en-GB" w:bidi="he-IL"/>
          </w:rPr>
          <w:t>378(2)</w:t>
        </w:r>
      </w:hyperlink>
      <w:r w:rsidRPr="003B2BE4">
        <w:rPr>
          <w:rFonts w:ascii="Arial" w:hAnsi="Arial"/>
          <w:sz w:val="18"/>
          <w:szCs w:val="18"/>
          <w:lang w:eastAsia="en-GB" w:bidi="he-IL"/>
        </w:rPr>
        <w:t>.</w:t>
      </w:r>
    </w:p>
    <w:p w:rsidR="00EF65A2" w:rsidRPr="003B2BE4" w:rsidRDefault="00EF65A2" w:rsidP="004C0A3C">
      <w:pPr>
        <w:spacing w:after="120"/>
        <w:ind w:left="567" w:hanging="567"/>
        <w:jc w:val="both"/>
        <w:rPr>
          <w:rFonts w:ascii="Arial" w:hAnsi="Arial"/>
          <w:sz w:val="18"/>
          <w:szCs w:val="18"/>
          <w:lang w:eastAsia="en-GB" w:bidi="he-IL"/>
        </w:rPr>
      </w:pPr>
      <w:bookmarkStart w:id="96" w:name="CA1985s368_8"/>
      <w:bookmarkEnd w:id="96"/>
      <w:r w:rsidRPr="003B2BE4">
        <w:rPr>
          <w:rFonts w:ascii="Arial" w:hAnsi="Arial"/>
          <w:sz w:val="18"/>
          <w:szCs w:val="18"/>
          <w:lang w:eastAsia="en-GB" w:bidi="he-IL"/>
        </w:rPr>
        <w:t>[(8)</w:t>
      </w:r>
      <w:r w:rsidRPr="003B2BE4">
        <w:rPr>
          <w:rFonts w:ascii="Arial" w:hAnsi="Arial"/>
          <w:sz w:val="18"/>
          <w:szCs w:val="18"/>
          <w:lang w:eastAsia="en-GB" w:bidi="he-IL"/>
        </w:rPr>
        <w:tab/>
        <w:t>The directors are deemed not to have duly convened a meeting if they convene a meeting for a date more than 28 days after the date of the notice convening the meeting.]</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369 Length of notice for calling meetings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provision of a company's articles is void in so far as it provides for the calling of a meeting of the company (other than an adjourned meeting) by a shorter notice than—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(2)</w:t>
      </w:r>
      <w:r w:rsidRPr="003B2BE4">
        <w:rPr>
          <w:rFonts w:ascii="Arial" w:hAnsi="Arial"/>
          <w:sz w:val="18"/>
          <w:szCs w:val="18"/>
          <w:lang w:eastAsia="en-GB" w:bidi="he-IL"/>
        </w:rPr>
        <w:tab/>
        <w:t xml:space="preserve">Save in so far as the articles of a company make other provision in that behalf (not being a provision avoided by subsection (1)), a meeting of the company (other than an adjourned meeting) may be called—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by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Notwithstanding that a meeting is called by shorter notice than that specified in subsection (2) or in the company's articles (as the case may be), it is deemed to have been duly called if it is so agreed—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meeting called as the annual general meeting, by all the members entitled to attend and vote at it;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by the requisite majority.</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The requisite majority for this purpose is a majority in number of the members having a right to attend and vote at the meeting, being a majority—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a right to attend and vote at the meeting [(excluding any shares in the company held as treasury shares)]; or</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together representing not less than 95 per cent of the total voting rights at that meeting of all the members.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[(4A)</w:t>
      </w:r>
      <w:r w:rsidRPr="003B2BE4">
        <w:rPr>
          <w:rFonts w:ascii="Arial" w:hAnsi="Arial"/>
          <w:sz w:val="18"/>
          <w:szCs w:val="18"/>
          <w:lang w:eastAsia="en-GB" w:bidi="he-IL"/>
        </w:rPr>
        <w:tab/>
        <w:t xml:space="preserve">For the purposes of this section the cases in which notice in writing of a meeting is to be taken as given to a person include any case in which notice of the meeting is sent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xml:space="preserve"> to such address as may for the time being be notified by that person to the company for that purpose.</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(4B)</w:t>
      </w:r>
      <w:r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purposes of this section a notice in writing of a meeting is also to be treated as given to a person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 and that person have agreed that notices of meetings required to be given to that person may instead be accessed by him on a web site;</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meeting is a meeting to which that agreement applies;</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person is notified, in a manner for the time being agreed between him and the company for the purpose, of—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publication of the notice on a web site;</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that web site;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place on that web site where the notice may be accessed, and how it may be accessed;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notice continues to be published on that web site throughout the period beginning with the giving of that notification and ending with the conclusion of the meeting;</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xml:space="preserve"> for the purposes of this section a notice treated in accordance with this subsection as given to any person is to be treated as so given at the time of the notification mentioned in paragraph (c).</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(4C)     A notification given for the purposes of subsection (4B</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c) must—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that it concerns a notice of a company meeting served in accordance with this Act,</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specify</w:t>
      </w:r>
      <w:proofErr w:type="gramEnd"/>
      <w:r w:rsidRPr="003B2BE4">
        <w:rPr>
          <w:rFonts w:ascii="Arial" w:hAnsi="Arial"/>
          <w:sz w:val="18"/>
          <w:szCs w:val="18"/>
          <w:lang w:eastAsia="en-GB" w:bidi="he-IL"/>
        </w:rPr>
        <w:t xml:space="preserve"> the place, date and time of the meeting,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whether the meeting is to be an annual or extraordinary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(4D)</w:t>
      </w:r>
      <w:r w:rsidRPr="003B2BE4">
        <w:rPr>
          <w:rFonts w:ascii="Arial" w:hAnsi="Arial"/>
          <w:sz w:val="18"/>
          <w:szCs w:val="18"/>
          <w:lang w:eastAsia="en-GB" w:bidi="he-IL"/>
        </w:rPr>
        <w:tab/>
        <w:t xml:space="preserve">Nothing in subsection (4B) shall invalidate the proceedings of a meeting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any notice that is required to be published as mentioned in paragraph (d) of that subsection is published for a part, but not all, of the period mentioned in that paragraph;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failure to publish that notice throughout that period is wholly attributable to circumstances which it would not be reasonable to have expected the company to prevent or avoid.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(4E)</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company may, notwithstanding any provision to the contrary in a company's articles, take advantage of any of subsections (4A) to (4D).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(4F)</w:t>
      </w:r>
      <w:r w:rsidRPr="003B2BE4">
        <w:rPr>
          <w:rFonts w:ascii="Arial" w:hAnsi="Arial"/>
          <w:sz w:val="18"/>
          <w:szCs w:val="18"/>
          <w:lang w:eastAsia="en-GB" w:bidi="he-IL"/>
        </w:rPr>
        <w:tab/>
        <w:t xml:space="preserve">In so far as the articles of the company do not provide for notices and notifications to be served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the provisions of Table A (as for the time being in force) as to such service shall apply.</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sz w:val="18"/>
          <w:szCs w:val="18"/>
          <w:lang w:eastAsia="en-GB" w:bidi="he-IL"/>
        </w:rPr>
        <w:t>(4G)</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this section, “address” includes any number or address used for the purposes of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w:t>
      </w:r>
    </w:p>
    <w:p w:rsidR="00E157A1" w:rsidRPr="003B2BE4" w:rsidRDefault="00E157A1" w:rsidP="004C0A3C">
      <w:pPr>
        <w:spacing w:after="120"/>
        <w:ind w:left="567" w:hanging="567"/>
        <w:jc w:val="both"/>
        <w:rPr>
          <w:rFonts w:ascii="Arial" w:hAnsi="Arial"/>
          <w:b/>
          <w:bCs/>
          <w:sz w:val="18"/>
          <w:szCs w:val="18"/>
          <w:lang w:eastAsia="en-GB" w:bidi="he-IL"/>
        </w:rPr>
      </w:pPr>
      <w:bookmarkStart w:id="97" w:name="CA1985s378"/>
      <w:bookmarkEnd w:id="97"/>
      <w:r w:rsidRPr="003B2BE4">
        <w:rPr>
          <w:rFonts w:ascii="Arial" w:hAnsi="Arial"/>
          <w:b/>
          <w:bCs/>
          <w:sz w:val="18"/>
          <w:szCs w:val="18"/>
          <w:lang w:eastAsia="en-GB" w:bidi="he-IL"/>
        </w:rPr>
        <w:t>378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and special resolutions</w:t>
      </w:r>
    </w:p>
    <w:p w:rsidR="00E157A1" w:rsidRPr="003B2BE4" w:rsidRDefault="00E157A1" w:rsidP="004C0A3C">
      <w:pPr>
        <w:spacing w:after="120"/>
        <w:ind w:left="567" w:hanging="567"/>
        <w:jc w:val="both"/>
        <w:rPr>
          <w:rFonts w:ascii="Arial" w:hAnsi="Arial"/>
          <w:sz w:val="18"/>
          <w:szCs w:val="18"/>
          <w:lang w:eastAsia="en-GB" w:bidi="he-IL"/>
        </w:rPr>
      </w:pPr>
      <w:bookmarkStart w:id="98" w:name="CA1985ex_res"/>
      <w:bookmarkEnd w:id="98"/>
      <w:r w:rsidRPr="003B2BE4">
        <w:rPr>
          <w:rFonts w:ascii="Arial" w:hAnsi="Arial"/>
          <w:sz w:val="18"/>
          <w:szCs w:val="18"/>
          <w:lang w:eastAsia="en-GB" w:bidi="he-IL"/>
        </w:rPr>
        <w:t>(1)</w:t>
      </w:r>
      <w:r w:rsidRPr="003B2BE4">
        <w:rPr>
          <w:rFonts w:ascii="Arial" w:hAnsi="Arial"/>
          <w:sz w:val="18"/>
          <w:szCs w:val="18"/>
          <w:lang w:eastAsia="en-GB" w:bidi="he-IL"/>
        </w:rPr>
        <w:tab/>
        <w:t>A resolution is an extraordinary resolution when it has been passed by a majority of not less than three-fourths of such members as (being entitled to do so) vote in person or, where proxies are allowed, by proxy, at a general meeting of which notice specifying the intention to propose the resolution as an extraordinary resolution has been duly given.</w:t>
      </w:r>
    </w:p>
    <w:p w:rsidR="00E157A1" w:rsidRPr="003B2BE4" w:rsidRDefault="00E157A1" w:rsidP="004C0A3C">
      <w:pPr>
        <w:spacing w:after="120"/>
        <w:ind w:left="567" w:hanging="567"/>
        <w:jc w:val="both"/>
        <w:rPr>
          <w:rFonts w:ascii="Arial" w:hAnsi="Arial"/>
          <w:sz w:val="18"/>
          <w:szCs w:val="18"/>
          <w:lang w:eastAsia="en-GB" w:bidi="he-IL"/>
        </w:rPr>
      </w:pPr>
      <w:bookmarkStart w:id="99" w:name="CA1985spec_res"/>
      <w:bookmarkStart w:id="100" w:name="CA1985s378_2"/>
      <w:bookmarkEnd w:id="99"/>
      <w:bookmarkEnd w:id="100"/>
      <w:r w:rsidRPr="003B2BE4">
        <w:rPr>
          <w:rFonts w:ascii="Arial" w:hAnsi="Arial"/>
          <w:sz w:val="18"/>
          <w:szCs w:val="18"/>
          <w:lang w:eastAsia="en-GB" w:bidi="he-IL"/>
        </w:rPr>
        <w:t>(2)</w:t>
      </w:r>
      <w:r w:rsidRPr="003B2BE4">
        <w:rPr>
          <w:rFonts w:ascii="Arial" w:hAnsi="Arial"/>
          <w:sz w:val="18"/>
          <w:szCs w:val="18"/>
          <w:lang w:eastAsia="en-GB" w:bidi="he-IL"/>
        </w:rPr>
        <w:tab/>
        <w:t xml:space="preserve">A resolution is a special resolution when it has been passed by such a majority as is required for the passing of an </w:t>
      </w:r>
      <w:hyperlink w:anchor="CA1985ex_res" w:history="1">
        <w:r w:rsidRPr="003B2BE4">
          <w:rPr>
            <w:rStyle w:val="Hyperlink"/>
            <w:sz w:val="18"/>
            <w:szCs w:val="18"/>
            <w:lang w:eastAsia="en-GB" w:bidi="he-IL"/>
          </w:rPr>
          <w:t>extraordinary resolution</w:t>
        </w:r>
      </w:hyperlink>
      <w:r w:rsidRPr="003B2BE4">
        <w:rPr>
          <w:rFonts w:ascii="Arial" w:hAnsi="Arial"/>
          <w:sz w:val="18"/>
          <w:szCs w:val="18"/>
          <w:lang w:eastAsia="en-GB" w:bidi="he-IL"/>
        </w:rPr>
        <w:t xml:space="preserve"> and at a general meeting of which not less than 21 days' notice, specifying the intention to propose the resolution as a special resolution, has been duly given.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If it is so agreed by a majority in number of the members having the right to attend and vote at such a meeting, being a majority— </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that right [(excluding any shares in the company held as treasury shares)]; or</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resolution may be proposed and passed as a special resolution at a meeting of which less than 21 days' notice has been given</w:t>
      </w:r>
      <w:r w:rsidR="007F5196" w:rsidRPr="003B2BE4">
        <w:rPr>
          <w:rFonts w:ascii="Arial" w:hAnsi="Arial"/>
          <w:sz w:val="18"/>
          <w:szCs w:val="18"/>
          <w:lang w:eastAsia="en-GB" w:bidi="he-IL"/>
        </w:rPr>
        <w:t xml:space="preserve">.  </w:t>
      </w:r>
      <w:r w:rsidRPr="003B2BE4">
        <w:rPr>
          <w:rFonts w:ascii="Arial" w:hAnsi="Arial"/>
          <w:sz w:val="18"/>
          <w:szCs w:val="18"/>
          <w:lang w:eastAsia="en-GB" w:bidi="he-IL"/>
        </w:rPr>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At any meeting at which an extraordinary resolution or a special resolution is submitted to be passed, a declaration by the chairman that the resolution is carried is, unless a poll is demanded, conclusive evidence of the fact without proof of the number or proportion of the votes recorded in favour of or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In computing the majority on a poll demanded on the question that an extraordinary resolution or a special resolution be passed, reference is to be had to the number of votes cast for and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notice of a meeting is deemed duly given, and the meeting duly held, when the notice is given and the meeting held in the manner provided by this Act or the company's articles.</w:t>
      </w:r>
    </w:p>
    <w:p w:rsidR="005A5C15" w:rsidRPr="003B2BE4" w:rsidRDefault="005A5C15" w:rsidP="004C0A3C">
      <w:pPr>
        <w:spacing w:after="120"/>
        <w:ind w:left="567" w:hanging="567"/>
        <w:jc w:val="both"/>
        <w:rPr>
          <w:rFonts w:ascii="Arial" w:hAnsi="Arial"/>
          <w:b/>
          <w:bCs/>
          <w:sz w:val="18"/>
          <w:szCs w:val="18"/>
          <w:lang w:eastAsia="en-GB" w:bidi="he-IL"/>
        </w:rPr>
      </w:pPr>
      <w:bookmarkStart w:id="101" w:name="CA1985spec_not"/>
      <w:bookmarkStart w:id="102" w:name="CA1985s379"/>
      <w:bookmarkEnd w:id="101"/>
      <w:bookmarkEnd w:id="102"/>
      <w:r w:rsidRPr="003B2BE4">
        <w:rPr>
          <w:rFonts w:ascii="Arial" w:hAnsi="Arial"/>
          <w:b/>
          <w:bCs/>
          <w:sz w:val="18"/>
          <w:szCs w:val="18"/>
          <w:lang w:eastAsia="en-GB" w:bidi="he-IL"/>
        </w:rPr>
        <w:t>379</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requiring special notice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Where by any provision of this Act special notice is required of a resolution, the resolution is not effective unless notice of the intention to move it has been given to the company at least 28 days before the meeting at which it is moved.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company shall give its members notice of any such resolution at the same time and in the same manner as it gives notice of the meeting or, if that is not practicable, shall give them notice either by advertisement in a newspaper having an appropriate circulation or in any other mode allowed by the company's articles, at least 21 days before the meeting.</w:t>
      </w:r>
    </w:p>
    <w:p w:rsidR="007476BD" w:rsidRPr="003B2BE4" w:rsidRDefault="005A5C15" w:rsidP="004C0A3C">
      <w:pPr>
        <w:spacing w:after="120"/>
        <w:ind w:left="567" w:hanging="567"/>
        <w:jc w:val="both"/>
        <w:rPr>
          <w:rFonts w:ascii="Arial" w:hAnsi="Arial" w:cs="Arial"/>
          <w:sz w:val="18"/>
          <w:szCs w:val="18"/>
          <w:lang w:val="en"/>
        </w:rPr>
      </w:pPr>
      <w:r w:rsidRPr="003B2BE4">
        <w:rPr>
          <w:rFonts w:ascii="Arial" w:hAnsi="Arial"/>
          <w:sz w:val="18"/>
          <w:szCs w:val="18"/>
          <w:lang w:eastAsia="en-GB" w:bidi="he-IL"/>
        </w:rPr>
        <w:t>(3)</w:t>
      </w:r>
      <w:r w:rsidRPr="003B2BE4">
        <w:rPr>
          <w:rFonts w:ascii="Arial" w:hAnsi="Arial"/>
          <w:sz w:val="18"/>
          <w:szCs w:val="18"/>
          <w:lang w:eastAsia="en-GB" w:bidi="he-IL"/>
        </w:rPr>
        <w:tab/>
        <w:t>If, after notice of the intention to move such a resolution has been given to the company, a meeting is called for a date 28 days or less after the notice has been given, the notice is deemed properly given, though not given within the time required.</w:t>
      </w:r>
      <w:r w:rsidR="005238C4" w:rsidRPr="003B2BE4">
        <w:rPr>
          <w:rFonts w:ascii="Arial" w:hAnsi="Arial" w:cs="Arial"/>
          <w:sz w:val="18"/>
          <w:szCs w:val="18"/>
          <w:lang w:val="en"/>
        </w:rPr>
        <w:t xml:space="preserve"> </w:t>
      </w:r>
    </w:p>
    <w:p w:rsidR="005238C4" w:rsidRPr="003B2BE4" w:rsidRDefault="005238C4" w:rsidP="004C0A3C">
      <w:pPr>
        <w:spacing w:after="120"/>
        <w:ind w:left="567" w:hanging="567"/>
        <w:jc w:val="both"/>
        <w:rPr>
          <w:rFonts w:ascii="Arial" w:hAnsi="Arial"/>
          <w:b/>
          <w:bCs/>
          <w:sz w:val="18"/>
          <w:szCs w:val="18"/>
          <w:lang w:eastAsia="en-GB" w:bidi="he-IL"/>
        </w:rPr>
      </w:pPr>
      <w:bookmarkStart w:id="103" w:name="CA1985s727"/>
      <w:bookmarkEnd w:id="103"/>
      <w:r w:rsidRPr="003B2BE4">
        <w:rPr>
          <w:rFonts w:ascii="Arial" w:hAnsi="Arial"/>
          <w:b/>
          <w:bCs/>
          <w:sz w:val="18"/>
          <w:szCs w:val="18"/>
          <w:lang w:eastAsia="en-GB" w:bidi="he-IL"/>
        </w:rPr>
        <w:t>727 Power of court to grant relief in certain cases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If in any proceedings for negligence, default, breach of duty or breach of trust against an officer of a company or a person employed by a company as auditor (whether he is or is not an officer of the company) it appears to the court hearing the case that that officer or person is or may be liable in respect of the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it thinks fit.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If any such officer or person as above-mentioned has reason to apprehend that any claim will or might be made against him in respect of any negligence, default, breach of duty or breach of trust, he may apply to the court for relief; and the court on the application has the same power to relieve him as under this </w:t>
      </w:r>
      <w:r w:rsidRPr="003B2BE4">
        <w:rPr>
          <w:rFonts w:ascii="Arial" w:hAnsi="Arial"/>
          <w:sz w:val="18"/>
          <w:szCs w:val="18"/>
          <w:lang w:eastAsia="en-GB" w:bidi="he-IL"/>
        </w:rPr>
        <w:lastRenderedPageBreak/>
        <w:t>section it would have had if it had been a court before which proceedings against that person for negligence, default, breach of duty or breach of trust had been brought.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     Where a case to which subsection (1) applies is being tried by a judge with a jury, the judge, after hearing the evidence, may, if he is satisfied that the defendant or defender ought in pursuance of that subsection to be relieved either in whole or in part from the liability sought to be enforced against him, withdraw the case in whole or in part from the jury and forthwith direct judgment to be entered for the defendant or defender on such terms as to costs or otherwise as the judge may think proper.</w:t>
      </w:r>
    </w:p>
    <w:p w:rsidR="00D65866" w:rsidRPr="003B2BE4" w:rsidRDefault="00D65866" w:rsidP="004C0A3C">
      <w:pPr>
        <w:spacing w:after="120"/>
        <w:ind w:left="567" w:hanging="567"/>
        <w:jc w:val="both"/>
        <w:rPr>
          <w:rFonts w:ascii="Arial" w:hAnsi="Arial"/>
          <w:b/>
          <w:bCs/>
          <w:sz w:val="18"/>
          <w:szCs w:val="18"/>
          <w:lang w:eastAsia="en-GB" w:bidi="he-IL"/>
        </w:rPr>
        <w:sectPr w:rsidR="00D65866" w:rsidRPr="003B2BE4" w:rsidSect="0087743D">
          <w:headerReference w:type="default" r:id="rId21"/>
          <w:footerReference w:type="default" r:id="rId22"/>
          <w:pgSz w:w="11906" w:h="16838" w:code="9"/>
          <w:pgMar w:top="1440" w:right="1440" w:bottom="1440" w:left="1440" w:header="737" w:footer="851" w:gutter="0"/>
          <w:cols w:space="720"/>
        </w:sectPr>
      </w:pPr>
    </w:p>
    <w:p w:rsidR="00D65866" w:rsidRPr="003B2BE4" w:rsidRDefault="00D65866" w:rsidP="004C0A3C">
      <w:pPr>
        <w:spacing w:after="120"/>
        <w:ind w:left="567" w:hanging="567"/>
        <w:jc w:val="both"/>
        <w:rPr>
          <w:rFonts w:ascii="Arial" w:hAnsi="Arial"/>
          <w:b/>
          <w:bCs/>
          <w:sz w:val="18"/>
          <w:szCs w:val="18"/>
          <w:lang w:eastAsia="en-GB" w:bidi="he-IL"/>
        </w:rPr>
      </w:pPr>
      <w:bookmarkStart w:id="104" w:name="ECA2000s15"/>
      <w:bookmarkEnd w:id="104"/>
      <w:r w:rsidRPr="003B2BE4">
        <w:rPr>
          <w:rFonts w:ascii="Arial" w:hAnsi="Arial"/>
          <w:b/>
          <w:bCs/>
          <w:sz w:val="18"/>
          <w:szCs w:val="18"/>
          <w:lang w:eastAsia="en-GB" w:bidi="he-IL"/>
        </w:rPr>
        <w:lastRenderedPageBreak/>
        <w:t>15</w:t>
      </w:r>
      <w:r w:rsidRPr="003B2BE4">
        <w:rPr>
          <w:rFonts w:ascii="Arial" w:hAnsi="Arial"/>
          <w:b/>
          <w:bCs/>
          <w:sz w:val="18"/>
          <w:szCs w:val="18"/>
          <w:lang w:eastAsia="en-GB" w:bidi="he-IL"/>
        </w:rPr>
        <w:tab/>
        <w:t>General interpretation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In this Act, except in so far as the context otherwise requires— </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document</w:t>
      </w:r>
      <w:proofErr w:type="gramEnd"/>
      <w:r w:rsidRPr="003B2BE4">
        <w:rPr>
          <w:rFonts w:ascii="Arial" w:hAnsi="Arial"/>
          <w:sz w:val="18"/>
          <w:szCs w:val="18"/>
          <w:lang w:eastAsia="en-GB" w:bidi="he-IL"/>
        </w:rPr>
        <w:t>” includes a map, plan, design, drawing, picture or other image;</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communication</w:t>
      </w:r>
      <w:proofErr w:type="gramEnd"/>
      <w:r w:rsidRPr="003B2BE4">
        <w:rPr>
          <w:rFonts w:ascii="Arial" w:hAnsi="Arial"/>
          <w:sz w:val="18"/>
          <w:szCs w:val="18"/>
          <w:lang w:eastAsia="en-GB" w:bidi="he-IL"/>
        </w:rPr>
        <w:t>” includes a communication comprising sounds or images or both and a communication effecting a payment;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bookmarkStart w:id="105" w:name="ECA2000s15ec"/>
      <w:bookmarkEnd w:id="105"/>
      <w:r w:rsidRPr="003B2BE4">
        <w:rPr>
          <w:rFonts w:ascii="Arial" w:hAnsi="Arial"/>
          <w:sz w:val="18"/>
          <w:szCs w:val="18"/>
          <w:lang w:eastAsia="en-GB" w:bidi="he-IL"/>
        </w:rPr>
        <w:t>“</w:t>
      </w:r>
      <w:proofErr w:type="gramStart"/>
      <w:r w:rsidRPr="003B2BE4">
        <w:rPr>
          <w:rFonts w:ascii="Arial" w:hAnsi="Arial"/>
          <w:sz w:val="18"/>
          <w:szCs w:val="18"/>
          <w:lang w:eastAsia="en-GB" w:bidi="he-IL"/>
        </w:rPr>
        <w:t>electronic</w:t>
      </w:r>
      <w:proofErr w:type="gramEnd"/>
      <w:r w:rsidRPr="003B2BE4">
        <w:rPr>
          <w:rFonts w:ascii="Arial" w:hAnsi="Arial"/>
          <w:sz w:val="18"/>
          <w:szCs w:val="18"/>
          <w:lang w:eastAsia="en-GB" w:bidi="he-IL"/>
        </w:rPr>
        <w:t xml:space="preserve"> communication” means a communication transmitted (whether from one person to another, from one device to another or from a person to a device or vice versa)—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means of [an electronic communications network]; or</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other means but while in an electronic form;</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enactment</w:t>
      </w:r>
      <w:proofErr w:type="gramEnd"/>
      <w:r w:rsidRPr="003B2BE4">
        <w:rPr>
          <w:rFonts w:ascii="Arial" w:hAnsi="Arial"/>
          <w:sz w:val="18"/>
          <w:szCs w:val="18"/>
          <w:lang w:eastAsia="en-GB" w:bidi="he-IL"/>
        </w:rPr>
        <w:t xml:space="preserve">” includes—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passed after the passing of this Act,</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comprised in an Act of the Scottish Parliament, and</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contained in Northern Ireland legislation,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but</w:t>
      </w:r>
      <w:proofErr w:type="gramEnd"/>
      <w:r w:rsidRPr="003B2BE4">
        <w:rPr>
          <w:rFonts w:ascii="Arial" w:hAnsi="Arial"/>
          <w:sz w:val="18"/>
          <w:szCs w:val="18"/>
          <w:lang w:eastAsia="en-GB" w:bidi="he-IL"/>
        </w:rPr>
        <w:t xml:space="preserve"> does not include an enactment contained in Part I or II of this Act;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modification</w:t>
      </w:r>
      <w:proofErr w:type="gramEnd"/>
      <w:r w:rsidRPr="003B2BE4">
        <w:rPr>
          <w:rFonts w:ascii="Arial" w:hAnsi="Arial"/>
          <w:sz w:val="18"/>
          <w:szCs w:val="18"/>
          <w:lang w:eastAsia="en-GB" w:bidi="he-IL"/>
        </w:rPr>
        <w:t>” includes any alteration, addition or omission, and cognate expressions shall be construed accordingly;</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record</w:t>
      </w:r>
      <w:proofErr w:type="gramEnd"/>
      <w:r w:rsidRPr="003B2BE4">
        <w:rPr>
          <w:rFonts w:ascii="Arial" w:hAnsi="Arial"/>
          <w:sz w:val="18"/>
          <w:szCs w:val="18"/>
          <w:lang w:eastAsia="en-GB" w:bidi="he-IL"/>
        </w:rPr>
        <w:t>” includes an electronic record; and</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subordinate</w:t>
      </w:r>
      <w:proofErr w:type="gramEnd"/>
      <w:r w:rsidRPr="003B2BE4">
        <w:rPr>
          <w:rFonts w:ascii="Arial" w:hAnsi="Arial"/>
          <w:sz w:val="18"/>
          <w:szCs w:val="18"/>
          <w:lang w:eastAsia="en-GB" w:bidi="he-IL"/>
        </w:rPr>
        <w:t xml:space="preserve"> legislation” means— </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subordinate legislation (within the meaning of the </w:t>
      </w:r>
      <w:hyperlink r:id="rId23" w:tgtFrame="_parent" w:history="1">
        <w:r w:rsidRPr="00D65866">
          <w:rPr>
            <w:rFonts w:ascii="Arial" w:hAnsi="Arial"/>
            <w:color w:val="000000"/>
            <w:sz w:val="18"/>
            <w:szCs w:val="18"/>
            <w:lang w:eastAsia="en-GB" w:bidi="he-IL"/>
          </w:rPr>
          <w:t>Interpretation Act 1978</w:t>
        </w:r>
      </w:hyperlink>
      <w:r w:rsidRPr="00D65866">
        <w:rPr>
          <w:rFonts w:ascii="Arial" w:hAnsi="Arial"/>
          <w:sz w:val="18"/>
          <w:szCs w:val="18"/>
          <w:lang w:eastAsia="en-GB" w:bidi="he-IL"/>
        </w:rPr>
        <w:t>);</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instrument made under an Act of the Scottish Parliament; or</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(c)</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statutory rules (within the meaning of the Statutory Rules (Northern Ireland) Order 1979).</w:t>
      </w:r>
    </w:p>
    <w:p w:rsidR="00D65866" w:rsidRPr="00D65866"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(2)</w:t>
      </w:r>
      <w:r>
        <w:rPr>
          <w:rFonts w:ascii="Arial" w:hAnsi="Arial"/>
          <w:sz w:val="18"/>
          <w:szCs w:val="18"/>
          <w:lang w:eastAsia="en-GB" w:bidi="he-IL"/>
        </w:rPr>
        <w:tab/>
      </w:r>
      <w:r w:rsidRPr="00D65866">
        <w:rPr>
          <w:rFonts w:ascii="Arial" w:hAnsi="Arial"/>
          <w:sz w:val="18"/>
          <w:szCs w:val="18"/>
          <w:lang w:eastAsia="en-GB" w:bidi="he-IL"/>
        </w:rPr>
        <w:t>In this Act—</w:t>
      </w:r>
      <w:r w:rsidRPr="00D65866">
        <w:rPr>
          <w:rFonts w:ascii="Arial" w:hAnsi="Arial"/>
          <w:color w:val="000000"/>
          <w:sz w:val="18"/>
          <w:szCs w:val="18"/>
          <w:lang w:eastAsia="en-GB" w:bidi="he-IL"/>
        </w:rPr>
        <w:t xml:space="preserve"> </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 </w:t>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authenticity of any communication or data are references to any one or more of the following—</w:t>
      </w:r>
      <w:r w:rsidRPr="00D65866">
        <w:rPr>
          <w:rFonts w:ascii="Arial" w:hAnsi="Arial"/>
          <w:color w:val="000000"/>
          <w:sz w:val="18"/>
          <w:szCs w:val="18"/>
          <w:lang w:eastAsia="en-GB" w:bidi="he-IL"/>
        </w:rPr>
        <w:t xml:space="preserve"> </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the communication or data comes from a particular person or other source;</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accurately timed and dated;</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intended to have legal effect;</w:t>
      </w:r>
      <w:r>
        <w:rPr>
          <w:rFonts w:ascii="Arial" w:hAnsi="Arial"/>
          <w:sz w:val="18"/>
          <w:szCs w:val="18"/>
          <w:lang w:eastAsia="en-GB" w:bidi="he-IL"/>
        </w:rPr>
        <w:t xml:space="preserve"> a</w:t>
      </w:r>
      <w:r w:rsidRPr="00D65866">
        <w:rPr>
          <w:rFonts w:ascii="Arial" w:hAnsi="Arial"/>
          <w:sz w:val="18"/>
          <w:szCs w:val="18"/>
          <w:lang w:eastAsia="en-GB" w:bidi="he-IL"/>
        </w:rPr>
        <w:t>nd</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integrity of any communication or data are references to whether there has been any tampering with or other modification of the communication or data.</w:t>
      </w:r>
    </w:p>
    <w:p w:rsidR="00D65866" w:rsidRPr="0090415B"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(3)</w:t>
      </w:r>
      <w:r>
        <w:rPr>
          <w:rFonts w:ascii="Arial" w:hAnsi="Arial"/>
          <w:sz w:val="18"/>
          <w:szCs w:val="18"/>
          <w:lang w:eastAsia="en-GB" w:bidi="he-IL"/>
        </w:rPr>
        <w:tab/>
      </w:r>
      <w:r w:rsidRPr="00D65866">
        <w:rPr>
          <w:rFonts w:ascii="Arial" w:hAnsi="Arial"/>
          <w:sz w:val="18"/>
          <w:szCs w:val="18"/>
          <w:lang w:eastAsia="en-GB" w:bidi="he-IL"/>
        </w:rPr>
        <w:t>References in this Act to something's being put into an intelligible form include references to its being restored to the condition in which it was before any encryption or similar process was applied to it.</w:t>
      </w:r>
    </w:p>
    <w:sectPr w:rsidR="00D65866" w:rsidRPr="0090415B" w:rsidSect="0087743D">
      <w:headerReference w:type="default" r:id="rId2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EE4" w:rsidRDefault="00481EE4">
      <w:r>
        <w:separator/>
      </w:r>
    </w:p>
  </w:endnote>
  <w:endnote w:type="continuationSeparator" w:id="0">
    <w:p w:rsidR="00481EE4" w:rsidRDefault="004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D56E56">
      <w:rPr>
        <w:rStyle w:val="PageNumber"/>
        <w:noProof/>
        <w:sz w:val="18"/>
      </w:rPr>
      <w:t>11</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D56E56">
      <w:rPr>
        <w:rStyle w:val="PageNumber"/>
        <w:noProof/>
        <w:sz w:val="18"/>
      </w:rPr>
      <w:t>13</w:t>
    </w:r>
    <w:r>
      <w:rPr>
        <w:rStyle w:val="PageNumber"/>
        <w:sz w:val="18"/>
      </w:rPr>
      <w:fldChar w:fldCharType="end"/>
    </w:r>
  </w:p>
  <w:p w:rsidR="00546DA2" w:rsidRDefault="00546D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Pr="00E13087" w:rsidRDefault="00546DA2" w:rsidP="007476BD">
    <w:pPr>
      <w:pStyle w:val="Footer"/>
      <w:spacing w:after="120"/>
      <w:jc w:val="center"/>
      <w:rPr>
        <w:rStyle w:val="PageNumber"/>
        <w:rFonts w:ascii="Arial Narrow" w:hAnsi="Arial Narrow"/>
        <w:sz w:val="16"/>
        <w:szCs w:val="16"/>
      </w:rPr>
    </w:pPr>
    <w:proofErr w:type="gramStart"/>
    <w:r w:rsidRPr="00E13087">
      <w:rPr>
        <w:rStyle w:val="PageNumber"/>
        <w:rFonts w:ascii="Arial Narrow" w:hAnsi="Arial Narrow"/>
        <w:sz w:val="16"/>
        <w:szCs w:val="16"/>
      </w:rPr>
      <w:t>this</w:t>
    </w:r>
    <w:proofErr w:type="gramEnd"/>
    <w:r w:rsidRPr="00E13087">
      <w:rPr>
        <w:rStyle w:val="PageNumber"/>
        <w:rFonts w:ascii="Arial Narrow" w:hAnsi="Arial Narrow"/>
        <w:sz w:val="16"/>
        <w:szCs w:val="16"/>
      </w:rPr>
      <w:t xml:space="preserve"> page does not form part of the company’s Memorandum &amp; Articles of Association and has been included for reference only</w:t>
    </w:r>
  </w:p>
  <w:p w:rsidR="00546DA2" w:rsidRDefault="00546DA2"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D56E56">
      <w:rPr>
        <w:rStyle w:val="PageNumber"/>
        <w:noProof/>
        <w:sz w:val="18"/>
      </w:rPr>
      <w:t>35</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EE4" w:rsidRDefault="00481EE4">
      <w:r>
        <w:separator/>
      </w:r>
    </w:p>
  </w:footnote>
  <w:footnote w:type="continuationSeparator" w:id="0">
    <w:p w:rsidR="00481EE4" w:rsidRDefault="00481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F02E3D">
    <w:pPr>
      <w:pStyle w:val="Header"/>
      <w:jc w:val="center"/>
      <w:rPr>
        <w:smallCaps/>
        <w:sz w:val="18"/>
        <w:szCs w:val="18"/>
      </w:rPr>
    </w:pPr>
    <w:r>
      <w:rPr>
        <w:smallCaps/>
        <w:sz w:val="18"/>
        <w:szCs w:val="18"/>
      </w:rPr>
      <w:t>16/6/2007</w:t>
    </w:r>
  </w:p>
  <w:p w:rsidR="00546DA2" w:rsidRPr="000676B4" w:rsidRDefault="00546DA2"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7A14C9">
    <w:pPr>
      <w:pStyle w:val="Header"/>
      <w:jc w:val="center"/>
      <w:rPr>
        <w:smallCaps/>
        <w:sz w:val="18"/>
        <w:szCs w:val="18"/>
      </w:rPr>
    </w:pPr>
    <w:r>
      <w:rPr>
        <w:smallCaps/>
        <w:sz w:val="18"/>
        <w:szCs w:val="18"/>
      </w:rPr>
      <w:t>2</w:t>
    </w:r>
    <w:r w:rsidR="007A14C9">
      <w:rPr>
        <w:smallCaps/>
        <w:sz w:val="18"/>
        <w:szCs w:val="18"/>
      </w:rPr>
      <w:t>5</w:t>
    </w:r>
    <w:r>
      <w:rPr>
        <w:smallCaps/>
        <w:sz w:val="18"/>
        <w:szCs w:val="18"/>
      </w:rPr>
      <w:t>/6/201</w:t>
    </w:r>
    <w:r w:rsidR="007A14C9">
      <w:rPr>
        <w:smallCaps/>
        <w:sz w:val="18"/>
        <w:szCs w:val="18"/>
      </w:rPr>
      <w:t>7</w:t>
    </w:r>
  </w:p>
  <w:p w:rsidR="00546DA2" w:rsidRPr="000676B4" w:rsidRDefault="00546DA2"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A86114">
    <w:pPr>
      <w:pStyle w:val="Header"/>
      <w:jc w:val="center"/>
      <w:rPr>
        <w:smallCaps/>
        <w:sz w:val="18"/>
        <w:szCs w:val="18"/>
      </w:rPr>
    </w:pPr>
    <w:r>
      <w:rPr>
        <w:smallCaps/>
        <w:sz w:val="18"/>
        <w:szCs w:val="18"/>
      </w:rPr>
      <w:t>2</w:t>
    </w:r>
    <w:r w:rsidR="00A86114">
      <w:rPr>
        <w:smallCaps/>
        <w:sz w:val="18"/>
        <w:szCs w:val="18"/>
      </w:rPr>
      <w:t>5</w:t>
    </w:r>
    <w:r>
      <w:rPr>
        <w:smallCaps/>
        <w:sz w:val="18"/>
        <w:szCs w:val="18"/>
      </w:rPr>
      <w:t>/6/201</w:t>
    </w:r>
    <w:r w:rsidR="00A86114">
      <w:rPr>
        <w:smallCaps/>
        <w:sz w:val="18"/>
        <w:szCs w:val="18"/>
      </w:rPr>
      <w:t>7</w:t>
    </w:r>
  </w:p>
  <w:p w:rsidR="00546DA2" w:rsidRPr="000676B4" w:rsidRDefault="00546DA2"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7A14C9">
    <w:pPr>
      <w:pStyle w:val="Header"/>
      <w:jc w:val="center"/>
      <w:rPr>
        <w:smallCaps/>
        <w:sz w:val="18"/>
        <w:szCs w:val="18"/>
      </w:rPr>
    </w:pPr>
    <w:r>
      <w:rPr>
        <w:smallCaps/>
        <w:sz w:val="18"/>
        <w:szCs w:val="18"/>
      </w:rPr>
      <w:t>2</w:t>
    </w:r>
    <w:r w:rsidR="007A14C9">
      <w:rPr>
        <w:smallCaps/>
        <w:sz w:val="18"/>
        <w:szCs w:val="18"/>
      </w:rPr>
      <w:t>5</w:t>
    </w:r>
    <w:r>
      <w:rPr>
        <w:smallCaps/>
        <w:sz w:val="18"/>
        <w:szCs w:val="18"/>
      </w:rPr>
      <w:t>/6/201</w:t>
    </w:r>
    <w:r w:rsidR="007A14C9">
      <w:rPr>
        <w:smallCaps/>
        <w:sz w:val="18"/>
        <w:szCs w:val="18"/>
      </w:rPr>
      <w:t>7</w:t>
    </w:r>
  </w:p>
  <w:p w:rsidR="00546DA2" w:rsidRPr="00F02E3D" w:rsidRDefault="00546DA2" w:rsidP="00F02E3D">
    <w:pPr>
      <w:pStyle w:val="Header"/>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F02E3D">
    <w:pPr>
      <w:pStyle w:val="Header"/>
      <w:jc w:val="center"/>
      <w:rPr>
        <w:smallCaps/>
        <w:sz w:val="18"/>
        <w:szCs w:val="18"/>
      </w:rPr>
    </w:pPr>
    <w:r>
      <w:rPr>
        <w:smallCaps/>
        <w:sz w:val="18"/>
        <w:szCs w:val="18"/>
      </w:rPr>
      <w:t>16/6/2007</w:t>
    </w:r>
  </w:p>
  <w:p w:rsidR="00546DA2" w:rsidRPr="007476BD" w:rsidRDefault="00546DA2"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Companies Act 1985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A2" w:rsidRDefault="00546DA2" w:rsidP="00F02E3D">
    <w:pPr>
      <w:pStyle w:val="Header"/>
      <w:jc w:val="center"/>
      <w:rPr>
        <w:smallCaps/>
        <w:sz w:val="18"/>
        <w:szCs w:val="18"/>
      </w:rPr>
    </w:pPr>
    <w:r>
      <w:rPr>
        <w:smallCaps/>
        <w:sz w:val="18"/>
        <w:szCs w:val="18"/>
      </w:rPr>
      <w:t>16/6/2007</w:t>
    </w:r>
  </w:p>
  <w:p w:rsidR="00546DA2" w:rsidRPr="007476BD" w:rsidRDefault="00546DA2"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4"/>
  </w:num>
  <w:num w:numId="6">
    <w:abstractNumId w:val="2"/>
  </w:num>
  <w:num w:numId="7">
    <w:abstractNumId w:val="6"/>
  </w:num>
  <w:num w:numId="8">
    <w:abstractNumId w:val="25"/>
  </w:num>
  <w:num w:numId="9">
    <w:abstractNumId w:val="12"/>
  </w:num>
  <w:num w:numId="10">
    <w:abstractNumId w:val="10"/>
  </w:num>
  <w:num w:numId="11">
    <w:abstractNumId w:val="1"/>
  </w:num>
  <w:num w:numId="12">
    <w:abstractNumId w:val="18"/>
  </w:num>
  <w:num w:numId="13">
    <w:abstractNumId w:val="5"/>
  </w:num>
  <w:num w:numId="14">
    <w:abstractNumId w:val="23"/>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4E9E"/>
    <w:rsid w:val="000B2C40"/>
    <w:rsid w:val="000B59A9"/>
    <w:rsid w:val="000C4847"/>
    <w:rsid w:val="000D09C5"/>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46D00"/>
    <w:rsid w:val="0025311F"/>
    <w:rsid w:val="00256ED3"/>
    <w:rsid w:val="00257892"/>
    <w:rsid w:val="00260672"/>
    <w:rsid w:val="0026130B"/>
    <w:rsid w:val="002626C6"/>
    <w:rsid w:val="00263281"/>
    <w:rsid w:val="00264F7D"/>
    <w:rsid w:val="00276261"/>
    <w:rsid w:val="002773FB"/>
    <w:rsid w:val="00277F6D"/>
    <w:rsid w:val="0028776A"/>
    <w:rsid w:val="00287A3F"/>
    <w:rsid w:val="002946C1"/>
    <w:rsid w:val="00295A1E"/>
    <w:rsid w:val="002A1AE5"/>
    <w:rsid w:val="002A3399"/>
    <w:rsid w:val="002B3384"/>
    <w:rsid w:val="002B72A8"/>
    <w:rsid w:val="002C46CE"/>
    <w:rsid w:val="002C572E"/>
    <w:rsid w:val="002C73F2"/>
    <w:rsid w:val="002D0B46"/>
    <w:rsid w:val="002D2204"/>
    <w:rsid w:val="002D4C14"/>
    <w:rsid w:val="002E240D"/>
    <w:rsid w:val="002F434E"/>
    <w:rsid w:val="003002D7"/>
    <w:rsid w:val="00303A0D"/>
    <w:rsid w:val="00314CEF"/>
    <w:rsid w:val="003206A2"/>
    <w:rsid w:val="003243B6"/>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E1CAC"/>
    <w:rsid w:val="004F4BC3"/>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67F8"/>
    <w:rsid w:val="005E6E8F"/>
    <w:rsid w:val="005E7383"/>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10DD"/>
    <w:rsid w:val="00935244"/>
    <w:rsid w:val="00952698"/>
    <w:rsid w:val="00962A57"/>
    <w:rsid w:val="00966D29"/>
    <w:rsid w:val="00966DB4"/>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65F18"/>
    <w:rsid w:val="00B70077"/>
    <w:rsid w:val="00B83DC7"/>
    <w:rsid w:val="00B95142"/>
    <w:rsid w:val="00B97500"/>
    <w:rsid w:val="00BA5687"/>
    <w:rsid w:val="00BA781D"/>
    <w:rsid w:val="00BB6684"/>
    <w:rsid w:val="00BB7CDC"/>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64BD"/>
    <w:rsid w:val="00DD12D3"/>
    <w:rsid w:val="00DD2264"/>
    <w:rsid w:val="00DD4F7F"/>
    <w:rsid w:val="00DD5494"/>
    <w:rsid w:val="00DD5640"/>
    <w:rsid w:val="00DE0B4F"/>
    <w:rsid w:val="00DE22A4"/>
    <w:rsid w:val="00DE6C39"/>
    <w:rsid w:val="00DF62A4"/>
    <w:rsid w:val="00E0132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4BBF"/>
    <w:rsid w:val="00EA5B71"/>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xisnexis.com/uk/legal/search/runRemoteLink.do?service=citation&amp;langcountry=GB&amp;risb=21_T482000337&amp;A=0.11421490765937636&amp;linkInfo=GB%23UK_ACTS%23num%252000_8a_Title%25&amp;bc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xisnexis.com/uk/legal/search/runRemoteLink.do?service=citation&amp;langcountry=GB&amp;risb=21_T494720912&amp;A=0.4234766843197989&amp;linkInfo=GB%23UK_ACTS%23num%252000_8a_Title%25&amp;bc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lexisnexis.com/uk/legal/search/runRemoteLink.do?service=citation&amp;langcountry=GB&amp;risb=21_T482000337&amp;A=0.10547038186911906&amp;linkInfo=GB%23UK_ACTS%23num%251992_52a%25section%25117%25sect%25117%25&amp;bc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www.lexisnexis.com/uk/legal/search/runRemoteLink.do?service=citation&amp;langcountry=GB&amp;risb=21_T455849718&amp;A=0.2765931761174928&amp;linkInfo=GB%23UK_ACTS%23num%251978_30a_Title%25&amp;bct=A" TargetMode="External"/><Relationship Id="rId10" Type="http://schemas.openxmlformats.org/officeDocument/2006/relationships/footer" Target="footer1.xml"/><Relationship Id="rId19" Type="http://schemas.openxmlformats.org/officeDocument/2006/relationships/hyperlink" Target="http://www.lexisnexis.com/uk/legal/search/runRemoteLink.do?service=citation&amp;langcountry=GB&amp;risb=21_T482000337&amp;A=0.9002322839884583&amp;linkInfo=GB%23UK_ACTS%23num%252000_8a%25section%2539%25sect%2539%25&amp;bct=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9CC3-4282-46EE-B153-D323BC6D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21048</Words>
  <Characters>119975</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140742</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8</cp:revision>
  <cp:lastPrinted>2006-07-23T12:26:00Z</cp:lastPrinted>
  <dcterms:created xsi:type="dcterms:W3CDTF">2017-08-24T09:49:00Z</dcterms:created>
  <dcterms:modified xsi:type="dcterms:W3CDTF">2017-09-10T08:55:00Z</dcterms:modified>
</cp:coreProperties>
</file>